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9001:2015</w:t>
      </w:r>
    </w:p>
    <w:p>
      <w:pPr>
        <w:spacing w:before="0" w:after="80"/>
        <w:jc w:val="left"/>
      </w:pPr>
      <w:r>
        <w:rPr>
          <w:rFonts w:ascii="Calibri" w:hAnsi="Calibri"/>
          <w:color w:val="1F2A37"/>
          <w:sz w:val="40"/>
        </w:rPr>
        <w:t>Kalite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BE001</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Tüm çalışanlar; özellikle süreç sahipleri, yöneticiler ve kalite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9001:2015 standardı, kuruluşumuzun Kalite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"Kalite, tesadüf değil, planlı bir çabanın sonucudur."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9001:2015 standardı, kuruluşumuzun Kalite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9001:2015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9001:2015, Kalite Yönetim Sistemi alanında Tüm çalışanlar; özellikle süreç sahipleri, yöneticiler ve kalite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9001:2015, kuruluşların Kalite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Kalite: ISO 9000 tanımı: 'Bir nesnenin doğal özellikler kümesinin şartları karşılama derecesi.'</w:t>
      </w:r>
    </w:p>
    <w:p>
      <w:pPr>
        <w:pStyle w:val="ListeParagraf"/>
        <w:spacing w:after="60"/>
        <w:ind w:left="397"/>
      </w:pPr>
      <w:r>
        <w:rPr>
          <w:rFonts w:ascii="Calibri" w:hAnsi="Calibri"/>
          <w:color w:val="1F2A37"/>
          <w:sz w:val="22"/>
        </w:rPr>
        <w:t>•  KYS: Kalite Yönetim Sistemi — politika, hedef, süreç ve kaynakların entegre bütünü.</w:t>
      </w:r>
    </w:p>
    <w:p>
      <w:pPr>
        <w:pStyle w:val="ListeParagraf"/>
        <w:spacing w:after="60"/>
        <w:ind w:left="397"/>
      </w:pPr>
      <w:r>
        <w:rPr>
          <w:rFonts w:ascii="Calibri" w:hAnsi="Calibri"/>
          <w:color w:val="1F2A37"/>
          <w:sz w:val="22"/>
        </w:rPr>
        <w:t>•  PUKÖ Döngüsü: Planla – Uygula – Kontrol Et – Önlem Al; sürekli iyileştirmenin matematiği.</w:t>
      </w:r>
    </w:p>
    <w:p>
      <w:pPr>
        <w:pStyle w:val="ListeParagraf"/>
        <w:spacing w:after="60"/>
        <w:ind w:left="397"/>
      </w:pPr>
      <w:r>
        <w:rPr>
          <w:rFonts w:ascii="Calibri" w:hAnsi="Calibri"/>
          <w:color w:val="1F2A37"/>
          <w:sz w:val="22"/>
        </w:rPr>
        <w:t>•  Risk Tabanlı Düşünce: Olası belirsizliklerin sistemli ele alınması; eski 'önleyici faaliyet' yerine.</w:t>
      </w:r>
    </w:p>
    <w:p>
      <w:pPr>
        <w:pStyle w:val="ListeParagraf"/>
        <w:spacing w:after="60"/>
        <w:ind w:left="397"/>
      </w:pPr>
      <w:r>
        <w:rPr>
          <w:rFonts w:ascii="Calibri" w:hAnsi="Calibri"/>
          <w:color w:val="1F2A37"/>
          <w:sz w:val="22"/>
        </w:rPr>
        <w:t>•  Belgelendirilmiş Bilgi: Doküman (tutulması ve güncellenmesi) + Kayıt (kanıt amaçlı saklanan).</w:t>
      </w:r>
    </w:p>
    <w:p>
      <w:pPr>
        <w:pStyle w:val="ListeParagraf"/>
        <w:spacing w:after="60"/>
        <w:ind w:left="397"/>
      </w:pPr>
      <w:r>
        <w:rPr>
          <w:rFonts w:ascii="Calibri" w:hAnsi="Calibri"/>
          <w:color w:val="1F2A37"/>
          <w:sz w:val="22"/>
        </w:rPr>
        <w:t>•  İlgili Taraflar: Kuruluşu etkileyen veya etkilenen müşteri, çalışan, tedarikçi, regülatör, toplum.</w:t>
      </w:r>
    </w:p>
    <w:p>
      <w:pPr>
        <w:pStyle w:val="ListeParagraf"/>
        <w:spacing w:after="60"/>
        <w:ind w:left="397"/>
      </w:pPr>
      <w:r>
        <w:rPr>
          <w:rFonts w:ascii="Calibri" w:hAnsi="Calibri"/>
          <w:color w:val="1F2A37"/>
          <w:sz w:val="22"/>
        </w:rPr>
        <w:t>•  Bağlam: Kuruluşun iç ve dış konumunu belirleyen meseleler (PESTEL/SWOT).</w:t>
      </w:r>
    </w:p>
    <w:p>
      <w:pPr>
        <w:pStyle w:val="ListeParagraf"/>
        <w:spacing w:after="60"/>
        <w:ind w:left="397"/>
      </w:pPr>
      <w:r>
        <w:rPr>
          <w:rFonts w:ascii="Calibri" w:hAnsi="Calibri"/>
          <w:color w:val="1F2A37"/>
          <w:sz w:val="22"/>
        </w:rPr>
        <w:t>•  Müşteri Memnuniyeti: Müşterinin algıladığı performansın beklentilerine göre değerlendirmesi.</w:t>
      </w:r>
    </w:p>
    <w:p>
      <w:pPr>
        <w:pStyle w:val="ListeParagraf"/>
        <w:spacing w:after="60"/>
        <w:ind w:left="397"/>
      </w:pPr>
      <w:r>
        <w:rPr>
          <w:rFonts w:ascii="Calibri" w:hAnsi="Calibri"/>
          <w:color w:val="1F2A37"/>
          <w:sz w:val="22"/>
        </w:rPr>
        <w:t>•  DÖF: Düzeltici (ve Önleyici) Faaliyet — uygunsuzluğun kök nedenle çözümü.</w:t>
      </w:r>
    </w:p>
    <w:p>
      <w:pPr>
        <w:pStyle w:val="ListeParagraf"/>
        <w:spacing w:after="60"/>
        <w:ind w:left="397"/>
      </w:pPr>
      <w:r>
        <w:rPr>
          <w:rFonts w:ascii="Calibri" w:hAnsi="Calibri"/>
          <w:color w:val="1F2A37"/>
          <w:sz w:val="22"/>
        </w:rPr>
        <w:t>•  YGG: Yönetimin Gözden Geçirmesi — üst yönetimin planlı sistem değerlendirmesi.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1947 — ISO (International Organization for Standardization) kuruldu.</w:t>
      </w:r>
    </w:p>
    <w:p>
      <w:pPr>
        <w:pStyle w:val="ListeParagraf"/>
        <w:spacing w:after="60"/>
        <w:ind w:left="397"/>
      </w:pPr>
      <w:r>
        <w:rPr>
          <w:rFonts w:ascii="Calibri" w:hAnsi="Calibri"/>
          <w:color w:val="1F2A37"/>
          <w:sz w:val="22"/>
        </w:rPr>
        <w:t>•  1987 — ISO 9001 ilk sürümü; sektör bağımsız KYS çerçevesi olarak yayımlandı.</w:t>
      </w:r>
    </w:p>
    <w:p>
      <w:pPr>
        <w:pStyle w:val="ListeParagraf"/>
        <w:spacing w:after="60"/>
        <w:ind w:left="397"/>
      </w:pPr>
      <w:r>
        <w:rPr>
          <w:rFonts w:ascii="Calibri" w:hAnsi="Calibri"/>
          <w:color w:val="1F2A37"/>
          <w:sz w:val="22"/>
        </w:rPr>
        <w:t>•  2000 — Süreç yaklaşımı, müşteri odaklılık ve sürekli iyileştirme öne çıkarıldı.</w:t>
      </w:r>
    </w:p>
    <w:p>
      <w:pPr>
        <w:pStyle w:val="ListeParagraf"/>
        <w:spacing w:after="60"/>
        <w:ind w:left="397"/>
      </w:pPr>
      <w:r>
        <w:rPr>
          <w:rFonts w:ascii="Calibri" w:hAnsi="Calibri"/>
          <w:color w:val="1F2A37"/>
          <w:sz w:val="22"/>
        </w:rPr>
        <w:t>•  2015 — Annex SL üst yapısı ve risk tabanlı düşünce entegre edildi.</w:t>
      </w:r>
    </w:p>
    <w:p>
      <w:pPr>
        <w:pStyle w:val="ListeParagraf"/>
        <w:spacing w:after="60"/>
        <w:ind w:left="397"/>
      </w:pPr>
      <w:r>
        <w:rPr>
          <w:rFonts w:ascii="Calibri" w:hAnsi="Calibri"/>
          <w:color w:val="1F2A37"/>
          <w:sz w:val="22"/>
        </w:rPr>
        <w:t>•  Bugün — Dünya genelinde 1.000.000+ kuruluş ISO 9001 belgelidir.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9001:2015'in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Müşteri Odaklılık</w:t>
      </w:r>
    </w:p>
    <w:p>
      <w:pPr>
        <w:spacing w:before="0" w:after="120"/>
      </w:pPr>
      <w:r>
        <w:rPr>
          <w:rFonts w:ascii="Calibri" w:hAnsi="Calibri"/>
          <w:sz w:val="22"/>
        </w:rPr>
        <w:t>Mevcut ve gelecekteki müşteri ihtiyaçlarını anlamak; ihtiyaçların ötesine geçen değer sunmak.</w:t>
      </w:r>
    </w:p>
    <w:p>
      <w:pPr>
        <w:pStyle w:val="Balk2"/>
        <w:spacing w:before="200" w:after="160"/>
      </w:pPr>
      <w:r>
        <w:rPr>
          <w:rFonts w:ascii="Calibri" w:hAnsi="Calibri"/>
        </w:rPr>
        <w:t>3.2  Liderlik</w:t>
      </w:r>
    </w:p>
    <w:p>
      <w:pPr>
        <w:spacing w:before="0" w:after="120"/>
      </w:pPr>
      <w:r>
        <w:rPr>
          <w:rFonts w:ascii="Calibri" w:hAnsi="Calibri"/>
          <w:sz w:val="22"/>
        </w:rPr>
        <w:t>Üst yönetimin amacı, yönü ve iç koşulları belirleme sorumluluğu; sistemin yönetsel sahipliği.</w:t>
      </w:r>
    </w:p>
    <w:p>
      <w:pPr>
        <w:pStyle w:val="Balk2"/>
        <w:spacing w:before="200" w:after="160"/>
      </w:pPr>
      <w:r>
        <w:rPr>
          <w:rFonts w:ascii="Calibri" w:hAnsi="Calibri"/>
        </w:rPr>
        <w:t>3.3  İnsanların Katılımı</w:t>
      </w:r>
    </w:p>
    <w:p>
      <w:pPr>
        <w:spacing w:before="0" w:after="120"/>
      </w:pPr>
      <w:r>
        <w:rPr>
          <w:rFonts w:ascii="Calibri" w:hAnsi="Calibri"/>
          <w:sz w:val="22"/>
        </w:rPr>
        <w:t>Her seviyedeki çalışanın katkısı kaliteyi belirler; yetki, gelişim ve dahil etme esastır.</w:t>
      </w:r>
    </w:p>
    <w:p>
      <w:pPr>
        <w:pStyle w:val="Balk2"/>
        <w:spacing w:before="200" w:after="160"/>
      </w:pPr>
      <w:r>
        <w:rPr>
          <w:rFonts w:ascii="Calibri" w:hAnsi="Calibri"/>
        </w:rPr>
        <w:t>3.4  Süreç Yaklaşımı</w:t>
      </w:r>
    </w:p>
    <w:p>
      <w:pPr>
        <w:spacing w:before="0" w:after="120"/>
      </w:pPr>
      <w:r>
        <w:rPr>
          <w:rFonts w:ascii="Calibri" w:hAnsi="Calibri"/>
          <w:sz w:val="22"/>
        </w:rPr>
        <w:t>İstenen sonuçlar, faaliyetler ve kaynaklar süreçler olarak yönetildiğinde daha verimli elde edilir.</w:t>
      </w:r>
    </w:p>
    <w:p>
      <w:pPr>
        <w:pStyle w:val="Balk2"/>
        <w:spacing w:before="200" w:after="160"/>
      </w:pPr>
      <w:r>
        <w:rPr>
          <w:rFonts w:ascii="Calibri" w:hAnsi="Calibri"/>
        </w:rPr>
        <w:t>3.5  İyileştirme</w:t>
      </w:r>
    </w:p>
    <w:p>
      <w:pPr>
        <w:spacing w:before="0" w:after="120"/>
      </w:pPr>
      <w:r>
        <w:rPr>
          <w:rFonts w:ascii="Calibri" w:hAnsi="Calibri"/>
          <w:sz w:val="22"/>
        </w:rPr>
        <w:t>Süreklilik kuruluşun temel hedeflerinden biridir; her döngü bir öncekinden daha iyi olmalıdır.</w:t>
      </w:r>
    </w:p>
    <w:p>
      <w:pPr>
        <w:pStyle w:val="Balk2"/>
        <w:spacing w:before="200" w:after="160"/>
      </w:pPr>
      <w:r>
        <w:rPr>
          <w:rFonts w:ascii="Calibri" w:hAnsi="Calibri"/>
        </w:rPr>
        <w:t>3.6  Kanıta Dayalı Karar Verme</w:t>
      </w:r>
    </w:p>
    <w:p>
      <w:pPr>
        <w:spacing w:before="0" w:after="120"/>
      </w:pPr>
      <w:r>
        <w:rPr>
          <w:rFonts w:ascii="Calibri" w:hAnsi="Calibri"/>
          <w:sz w:val="22"/>
        </w:rPr>
        <w:t>Etkili kararlar verinin analiz ve değerlendirilmesine dayanır; sezgi yerine sistematik.</w:t>
      </w:r>
    </w:p>
    <w:p>
      <w:pPr>
        <w:pStyle w:val="Balk2"/>
        <w:spacing w:before="200" w:after="160"/>
      </w:pPr>
      <w:r>
        <w:rPr>
          <w:rFonts w:ascii="Calibri" w:hAnsi="Calibri"/>
        </w:rPr>
        <w:t>3.7  İlişki Yönetimi</w:t>
      </w:r>
    </w:p>
    <w:p>
      <w:pPr>
        <w:spacing w:before="0" w:after="120"/>
      </w:pPr>
      <w:r>
        <w:rPr>
          <w:rFonts w:ascii="Calibri" w:hAnsi="Calibri"/>
          <w:sz w:val="22"/>
        </w:rPr>
        <w:t>Tedarikçi, müşteri ve iç paydaşlarla sürdürülebilir, karşılıklı yarara dayalı ilişkiler.</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Kalite</w:t>
            </w:r>
          </w:p>
        </w:tc>
        <w:tc>
          <w:tcPr>
            <w:tcW w:type="dxa" w:w="4513"/>
            <w:shd w:fill="F4F6F9"/>
          </w:tcPr>
          <w:p>
            <w:r/>
            <w:r>
              <w:rPr>
                <w:rFonts w:ascii="Calibri" w:hAnsi="Calibri"/>
                <w:color w:val="1F2A37"/>
                <w:sz w:val="20"/>
              </w:rPr>
              <w:t>ISO 9000 tanımı: 'Bir nesnenin doğal özellikler kümesinin şartları karşılama derecesi.'</w:t>
            </w:r>
          </w:p>
        </w:tc>
      </w:tr>
      <w:tr>
        <w:tc>
          <w:tcPr>
            <w:tcW w:type="dxa" w:w="4513"/>
          </w:tcPr>
          <w:p>
            <w:r/>
            <w:r>
              <w:rPr>
                <w:rFonts w:ascii="Calibri" w:hAnsi="Calibri"/>
                <w:color w:val="1F2A37"/>
                <w:sz w:val="20"/>
              </w:rPr>
              <w:t>KYS</w:t>
            </w:r>
          </w:p>
        </w:tc>
        <w:tc>
          <w:tcPr>
            <w:tcW w:type="dxa" w:w="4513"/>
          </w:tcPr>
          <w:p>
            <w:r/>
            <w:r>
              <w:rPr>
                <w:rFonts w:ascii="Calibri" w:hAnsi="Calibri"/>
                <w:color w:val="1F2A37"/>
                <w:sz w:val="20"/>
              </w:rPr>
              <w:t>Kalite Yönetim Sistemi — politika, hedef, süreç ve kaynakların entegre bütünü.</w:t>
            </w:r>
          </w:p>
        </w:tc>
      </w:tr>
      <w:tr>
        <w:tc>
          <w:tcPr>
            <w:tcW w:type="dxa" w:w="4513"/>
            <w:shd w:fill="F4F6F9"/>
          </w:tcPr>
          <w:p>
            <w:r/>
            <w:r>
              <w:rPr>
                <w:rFonts w:ascii="Calibri" w:hAnsi="Calibri"/>
                <w:color w:val="1F2A37"/>
                <w:sz w:val="20"/>
              </w:rPr>
              <w:t>PUKÖ Döngüsü</w:t>
            </w:r>
          </w:p>
        </w:tc>
        <w:tc>
          <w:tcPr>
            <w:tcW w:type="dxa" w:w="4513"/>
            <w:shd w:fill="F4F6F9"/>
          </w:tcPr>
          <w:p>
            <w:r/>
            <w:r>
              <w:rPr>
                <w:rFonts w:ascii="Calibri" w:hAnsi="Calibri"/>
                <w:color w:val="1F2A37"/>
                <w:sz w:val="20"/>
              </w:rPr>
              <w:t>Planla – Uygula – Kontrol Et – Önlem Al; sürekli iyileştirmenin matematiği.</w:t>
            </w:r>
          </w:p>
        </w:tc>
      </w:tr>
      <w:tr>
        <w:tc>
          <w:tcPr>
            <w:tcW w:type="dxa" w:w="4513"/>
          </w:tcPr>
          <w:p>
            <w:r/>
            <w:r>
              <w:rPr>
                <w:rFonts w:ascii="Calibri" w:hAnsi="Calibri"/>
                <w:color w:val="1F2A37"/>
                <w:sz w:val="20"/>
              </w:rPr>
              <w:t>Risk Tabanlı Düşünce</w:t>
            </w:r>
          </w:p>
        </w:tc>
        <w:tc>
          <w:tcPr>
            <w:tcW w:type="dxa" w:w="4513"/>
          </w:tcPr>
          <w:p>
            <w:r/>
            <w:r>
              <w:rPr>
                <w:rFonts w:ascii="Calibri" w:hAnsi="Calibri"/>
                <w:color w:val="1F2A37"/>
                <w:sz w:val="20"/>
              </w:rPr>
              <w:t>Olası belirsizliklerin sistemli ele alınması; eski 'önleyici faaliyet' yerine.</w:t>
            </w:r>
          </w:p>
        </w:tc>
      </w:tr>
      <w:tr>
        <w:tc>
          <w:tcPr>
            <w:tcW w:type="dxa" w:w="4513"/>
            <w:shd w:fill="F4F6F9"/>
          </w:tcPr>
          <w:p>
            <w:r/>
            <w:r>
              <w:rPr>
                <w:rFonts w:ascii="Calibri" w:hAnsi="Calibri"/>
                <w:color w:val="1F2A37"/>
                <w:sz w:val="20"/>
              </w:rPr>
              <w:t>Belgelendirilmiş Bilgi</w:t>
            </w:r>
          </w:p>
        </w:tc>
        <w:tc>
          <w:tcPr>
            <w:tcW w:type="dxa" w:w="4513"/>
            <w:shd w:fill="F4F6F9"/>
          </w:tcPr>
          <w:p>
            <w:r/>
            <w:r>
              <w:rPr>
                <w:rFonts w:ascii="Calibri" w:hAnsi="Calibri"/>
                <w:color w:val="1F2A37"/>
                <w:sz w:val="20"/>
              </w:rPr>
              <w:t>Doküman (tutulması ve güncellenmesi) + Kayıt (kanıt amaçlı saklanan).</w:t>
            </w:r>
          </w:p>
        </w:tc>
      </w:tr>
      <w:tr>
        <w:tc>
          <w:tcPr>
            <w:tcW w:type="dxa" w:w="4513"/>
          </w:tcPr>
          <w:p>
            <w:r/>
            <w:r>
              <w:rPr>
                <w:rFonts w:ascii="Calibri" w:hAnsi="Calibri"/>
                <w:color w:val="1F2A37"/>
                <w:sz w:val="20"/>
              </w:rPr>
              <w:t>İlgili Taraflar</w:t>
            </w:r>
          </w:p>
        </w:tc>
        <w:tc>
          <w:tcPr>
            <w:tcW w:type="dxa" w:w="4513"/>
          </w:tcPr>
          <w:p>
            <w:r/>
            <w:r>
              <w:rPr>
                <w:rFonts w:ascii="Calibri" w:hAnsi="Calibri"/>
                <w:color w:val="1F2A37"/>
                <w:sz w:val="20"/>
              </w:rPr>
              <w:t>Kuruluşu etkileyen veya etkilenen müşteri, çalışan, tedarikçi, regülatör, toplum.</w:t>
            </w:r>
          </w:p>
        </w:tc>
      </w:tr>
      <w:tr>
        <w:tc>
          <w:tcPr>
            <w:tcW w:type="dxa" w:w="4513"/>
            <w:shd w:fill="F4F6F9"/>
          </w:tcPr>
          <w:p>
            <w:r/>
            <w:r>
              <w:rPr>
                <w:rFonts w:ascii="Calibri" w:hAnsi="Calibri"/>
                <w:color w:val="1F2A37"/>
                <w:sz w:val="20"/>
              </w:rPr>
              <w:t>Bağlam</w:t>
            </w:r>
          </w:p>
        </w:tc>
        <w:tc>
          <w:tcPr>
            <w:tcW w:type="dxa" w:w="4513"/>
            <w:shd w:fill="F4F6F9"/>
          </w:tcPr>
          <w:p>
            <w:r/>
            <w:r>
              <w:rPr>
                <w:rFonts w:ascii="Calibri" w:hAnsi="Calibri"/>
                <w:color w:val="1F2A37"/>
                <w:sz w:val="20"/>
              </w:rPr>
              <w:t>Kuruluşun iç ve dış konumunu belirleyen meseleler (PESTEL/SWOT).</w:t>
            </w:r>
          </w:p>
        </w:tc>
      </w:tr>
      <w:tr>
        <w:tc>
          <w:tcPr>
            <w:tcW w:type="dxa" w:w="4513"/>
          </w:tcPr>
          <w:p>
            <w:r/>
            <w:r>
              <w:rPr>
                <w:rFonts w:ascii="Calibri" w:hAnsi="Calibri"/>
                <w:color w:val="1F2A37"/>
                <w:sz w:val="20"/>
              </w:rPr>
              <w:t>Müşteri Memnuniyeti</w:t>
            </w:r>
          </w:p>
        </w:tc>
        <w:tc>
          <w:tcPr>
            <w:tcW w:type="dxa" w:w="4513"/>
          </w:tcPr>
          <w:p>
            <w:r/>
            <w:r>
              <w:rPr>
                <w:rFonts w:ascii="Calibri" w:hAnsi="Calibri"/>
                <w:color w:val="1F2A37"/>
                <w:sz w:val="20"/>
              </w:rPr>
              <w:t>Müşterinin algıladığı performansın beklentilerine göre değerlendirmesi.</w:t>
            </w:r>
          </w:p>
        </w:tc>
      </w:tr>
      <w:tr>
        <w:tc>
          <w:tcPr>
            <w:tcW w:type="dxa" w:w="4513"/>
            <w:shd w:fill="F4F6F9"/>
          </w:tcPr>
          <w:p>
            <w:r/>
            <w:r>
              <w:rPr>
                <w:rFonts w:ascii="Calibri" w:hAnsi="Calibri"/>
                <w:color w:val="1F2A37"/>
                <w:sz w:val="20"/>
              </w:rPr>
              <w:t>DÖF</w:t>
            </w:r>
          </w:p>
        </w:tc>
        <w:tc>
          <w:tcPr>
            <w:tcW w:type="dxa" w:w="4513"/>
            <w:shd w:fill="F4F6F9"/>
          </w:tcPr>
          <w:p>
            <w:r/>
            <w:r>
              <w:rPr>
                <w:rFonts w:ascii="Calibri" w:hAnsi="Calibri"/>
                <w:color w:val="1F2A37"/>
                <w:sz w:val="20"/>
              </w:rPr>
              <w:t>Düzeltici (ve Önleyici) Faaliyet — uygunsuzluğun kök nedenle çözümü.</w:t>
            </w:r>
          </w:p>
        </w:tc>
      </w:tr>
      <w:tr>
        <w:tc>
          <w:tcPr>
            <w:tcW w:type="dxa" w:w="4513"/>
          </w:tcPr>
          <w:p>
            <w:r/>
            <w:r>
              <w:rPr>
                <w:rFonts w:ascii="Calibri" w:hAnsi="Calibri"/>
                <w:color w:val="1F2A37"/>
                <w:sz w:val="20"/>
              </w:rPr>
              <w:t>YGG</w:t>
            </w:r>
          </w:p>
        </w:tc>
        <w:tc>
          <w:tcPr>
            <w:tcW w:type="dxa" w:w="4513"/>
          </w:tcPr>
          <w:p>
            <w:r/>
            <w:r>
              <w:rPr>
                <w:rFonts w:ascii="Calibri" w:hAnsi="Calibri"/>
                <w:color w:val="1F2A37"/>
                <w:sz w:val="20"/>
              </w:rPr>
              <w:t>Yönetimin Gözden Geçirmesi — üst yönetimin planlı sistem değerlendirmesi.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