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280"/>
        <w:jc w:val="left"/>
      </w:pPr>
      <w:r>
        <w:rPr>
          <w:rFonts w:ascii="Calibri" w:hAnsi="Calibri"/>
          <w:b/>
          <w:color w:val="EF7B2C"/>
          <w:sz w:val="22"/>
        </w:rPr>
        <w:t>KURUMSAL EĞİTİM PROGRAMI</w:t>
      </w:r>
    </w:p>
    <w:p>
      <w:pPr>
        <w:spacing w:before="0" w:after="120"/>
      </w:pPr>
    </w:p>
    <w:p>
      <w:pPr>
        <w:spacing w:before="0" w:after="120"/>
      </w:pPr>
    </w:p>
    <w:p>
      <w:pPr>
        <w:spacing w:before="0" w:after="80"/>
        <w:jc w:val="left"/>
      </w:pPr>
      <w:r>
        <w:rPr>
          <w:rFonts w:ascii="Calibri" w:hAnsi="Calibri"/>
          <w:b/>
          <w:color w:val="273968"/>
          <w:sz w:val="68"/>
        </w:rPr>
        <w:t>ISO 9001:2015</w:t>
      </w:r>
    </w:p>
    <w:p>
      <w:pPr>
        <w:spacing w:before="0" w:after="80"/>
        <w:jc w:val="left"/>
      </w:pPr>
      <w:r>
        <w:rPr>
          <w:rFonts w:ascii="Calibri" w:hAnsi="Calibri"/>
          <w:color w:val="1F2A37"/>
          <w:sz w:val="40"/>
        </w:rPr>
        <w:t>Kalite Yönetim Sistemi</w:t>
      </w:r>
    </w:p>
    <w:p>
      <w:pPr>
        <w:spacing w:before="0" w:after="600"/>
        <w:jc w:val="left"/>
      </w:pPr>
      <w:r>
        <w:rPr>
          <w:rFonts w:ascii="Calibri" w:hAnsi="Calibri"/>
          <w:b/>
          <w:color w:val="EF7B2C"/>
          <w:sz w:val="28"/>
        </w:rPr>
        <w:t>Temel Farkındalık Eğitimi</w:t>
      </w:r>
    </w:p>
    <w:p>
      <w:pPr>
        <w:spacing w:before="0" w:after="4000"/>
        <w:jc w:val="left"/>
      </w:pPr>
      <w:r>
        <w:rPr>
          <w:rFonts w:ascii="Calibri" w:hAnsi="Calibri"/>
          <w:b/>
          <w:color w:val="1F2A37"/>
          <w:sz w:val="28"/>
        </w:rPr>
        <w:t>— KATILIMCI EL KİTABI —</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tcPr>
          <w:p>
            <w:r/>
            <w:r>
              <w:rPr>
                <w:rFonts w:ascii="Calibri" w:hAnsi="Calibri"/>
                <w:b/>
                <w:color w:val="273968"/>
                <w:sz w:val="20"/>
              </w:rPr>
              <w:t>Doküman Kodu</w:t>
            </w:r>
          </w:p>
        </w:tc>
        <w:tc>
          <w:tcPr>
            <w:tcW w:type="dxa" w:w="4513"/>
          </w:tcPr>
          <w:p>
            <w:r/>
            <w:r>
              <w:rPr>
                <w:rFonts w:ascii="Calibri" w:hAnsi="Calibri"/>
                <w:color w:val="1F2A37"/>
                <w:sz w:val="20"/>
              </w:rPr>
              <w:t>BE001</w:t>
            </w:r>
          </w:p>
        </w:tc>
      </w:tr>
      <w:tr>
        <w:tc>
          <w:tcPr>
            <w:tcW w:type="dxa" w:w="4513"/>
          </w:tcPr>
          <w:p>
            <w:r/>
            <w:r>
              <w:rPr>
                <w:rFonts w:ascii="Calibri" w:hAnsi="Calibri"/>
                <w:b/>
                <w:color w:val="273968"/>
                <w:sz w:val="20"/>
              </w:rPr>
              <w:t>Tür</w:t>
            </w:r>
          </w:p>
        </w:tc>
        <w:tc>
          <w:tcPr>
            <w:tcW w:type="dxa" w:w="4513"/>
          </w:tcPr>
          <w:p>
            <w:r/>
            <w:r>
              <w:rPr>
                <w:rFonts w:ascii="Calibri" w:hAnsi="Calibri"/>
                <w:color w:val="1F2A37"/>
                <w:sz w:val="20"/>
              </w:rPr>
              <w:t>Temel Farkındalık Eğitimi</w:t>
            </w:r>
          </w:p>
        </w:tc>
      </w:tr>
      <w:tr>
        <w:tc>
          <w:tcPr>
            <w:tcW w:type="dxa" w:w="4513"/>
          </w:tcPr>
          <w:p>
            <w:r/>
            <w:r>
              <w:rPr>
                <w:rFonts w:ascii="Calibri" w:hAnsi="Calibri"/>
                <w:b/>
                <w:color w:val="273968"/>
                <w:sz w:val="20"/>
              </w:rPr>
              <w:t>Hedef Kitle</w:t>
            </w:r>
          </w:p>
        </w:tc>
        <w:tc>
          <w:tcPr>
            <w:tcW w:type="dxa" w:w="4513"/>
          </w:tcPr>
          <w:p>
            <w:r/>
            <w:r>
              <w:rPr>
                <w:rFonts w:ascii="Calibri" w:hAnsi="Calibri"/>
                <w:color w:val="1F2A37"/>
                <w:sz w:val="20"/>
              </w:rPr>
              <w:t>Tüm çalışanlar; özellikle süreç sahipleri, yöneticiler ve kalite ekipleri</w:t>
            </w:r>
          </w:p>
        </w:tc>
      </w:tr>
      <w:tr>
        <w:tc>
          <w:tcPr>
            <w:tcW w:type="dxa" w:w="4513"/>
          </w:tcPr>
          <w:p>
            <w:r/>
            <w:r>
              <w:rPr>
                <w:rFonts w:ascii="Calibri" w:hAnsi="Calibri"/>
                <w:b/>
                <w:color w:val="273968"/>
                <w:sz w:val="20"/>
              </w:rPr>
              <w:t>Hazırlayan</w:t>
            </w:r>
          </w:p>
        </w:tc>
        <w:tc>
          <w:tcPr>
            <w:tcW w:type="dxa" w:w="4513"/>
          </w:tcPr>
          <w:p>
            <w:r/>
            <w:r>
              <w:rPr>
                <w:rFonts w:ascii="Calibri" w:hAnsi="Calibri"/>
                <w:color w:val="1F2A37"/>
                <w:sz w:val="20"/>
              </w:rPr>
              <w:t>BESA Belgelendirme · Eğitim Birimi</w:t>
            </w:r>
          </w:p>
        </w:tc>
      </w:tr>
    </w:tbl>
    <w:p>
      <w:r>
        <w:br w:type="page"/>
      </w:r>
    </w:p>
    <w:p>
      <w:pPr>
        <w:pStyle w:val="Balk1"/>
        <w:spacing w:before="280" w:after="160"/>
      </w:pPr>
      <w:r>
        <w:rPr>
          <w:rFonts w:ascii="Calibri" w:hAnsi="Calibri"/>
        </w:rPr>
        <w:t>Önsöz</w:t>
      </w:r>
    </w:p>
    <w:p>
      <w:pPr>
        <w:spacing w:before="0" w:after="120"/>
      </w:pPr>
      <w:r>
        <w:rPr>
          <w:rFonts w:ascii="Calibri" w:hAnsi="Calibri"/>
          <w:b/>
          <w:sz w:val="22"/>
        </w:rPr>
        <w:t>Değerli Çalışma Arkadaşımız,</w:t>
      </w:r>
    </w:p>
    <w:p>
      <w:pPr>
        <w:spacing w:before="0" w:after="120"/>
      </w:pPr>
      <w:r>
        <w:rPr>
          <w:rFonts w:ascii="Calibri" w:hAnsi="Calibri"/>
          <w:color w:val="1F2A37"/>
          <w:sz w:val="22"/>
        </w:rPr>
        <w:t>ISO 9001:2015 standardı, kuruluşumuzun Kalite Yönetim Sistemi alanındaki sistematiğini uluslararası kabul gören bir çerçeveye oturtmamızı sağlar. Bu kitap; eğitim süresince konuyu pekiştirmek ve eğitim sonrasında günlük işinizde başvurabileceğiniz bir kaynak olarak kalmak üzere hazırlanmıştır.</w:t>
      </w:r>
    </w:p>
    <w:p>
      <w:pPr>
        <w:spacing w:before="0" w:after="120"/>
      </w:pPr>
      <w:r>
        <w:rPr>
          <w:rFonts w:ascii="Calibri" w:hAnsi="Calibri"/>
          <w:color w:val="1F2A37"/>
          <w:sz w:val="22"/>
        </w:rPr>
        <w:t>Kitabın yapısı, eğitim akışıyla paralel düzenlenmiştir: önce kavramsal çerçeve ve tarihçe, ardından temel prensipler, ardından standardın madde madde gereklilikleri, sonra belgelendirme ve iç tetkik süreci, en son ise bireysel rol ve sorumluluklar. Sonunda sıkça kullanılan terimler sözlüğü ve eğitim notları için boş sayfalar yer alır.</w:t>
      </w:r>
    </w:p>
    <w:p>
      <w:pPr>
        <w:spacing w:before="0" w:after="120"/>
      </w:pPr>
      <w:r>
        <w:rPr>
          <w:rFonts w:ascii="Calibri" w:hAnsi="Calibri"/>
          <w:color w:val="1F2A37"/>
          <w:sz w:val="22"/>
        </w:rPr>
        <w:t>Kuruluş olarak hedefimiz, standardın gereklerini bir 'uyum yükümlülüğü' olarak değil; iş yapma kültürümüzün ayrılmaz bir parçası olarak benimsemektir. Bu kültürün oluşmasında her birinizin katkısı kıymetlidir.</w:t>
      </w:r>
    </w:p>
    <w:p>
      <w:pPr>
        <w:spacing w:before="160" w:after="120"/>
      </w:pPr>
      <w:r>
        <w:rPr>
          <w:rFonts w:ascii="Calibri" w:hAnsi="Calibri"/>
          <w:i/>
          <w:color w:val="6B7280"/>
          <w:sz w:val="22"/>
        </w:rPr>
        <w:t>"Kalite, tesadüf değil, planlı bir çabanın sonucudur."</w:t>
      </w:r>
    </w:p>
    <w:p>
      <w:pPr>
        <w:spacing w:before="0" w:after="120"/>
        <w:jc w:val="right"/>
      </w:pPr>
      <w:r>
        <w:rPr>
          <w:rFonts w:ascii="Calibri" w:hAnsi="Calibri"/>
          <w:b/>
          <w:color w:val="6B7280"/>
          <w:sz w:val="22"/>
        </w:rPr>
        <w:t>Kalite Yönetim Birimi</w:t>
      </w:r>
    </w:p>
    <w:p>
      <w:r>
        <w:br w:type="page"/>
      </w:r>
    </w:p>
    <w:p>
      <w:pPr>
        <w:pStyle w:val="Balk1"/>
        <w:spacing w:before="280" w:after="160"/>
      </w:pPr>
      <w:r>
        <w:rPr>
          <w:rFonts w:ascii="Calibri" w:hAnsi="Calibri"/>
        </w:rPr>
        <w:t>İçindekiler</w:t>
      </w:r>
    </w:p>
    <w:p>
      <w:pPr>
        <w:spacing w:before="0" w:after="120"/>
      </w:pPr>
      <w:r>
        <w:rPr>
          <w:rFonts w:ascii="Calibri" w:hAnsi="Calibri"/>
          <w:sz w:val="22"/>
        </w:rPr>
        <w:t>1. Eğitim Hakkında</w:t>
      </w:r>
    </w:p>
    <w:p>
      <w:pPr>
        <w:spacing w:before="0" w:after="120"/>
      </w:pPr>
      <w:r>
        <w:rPr>
          <w:rFonts w:ascii="Calibri" w:hAnsi="Calibri"/>
          <w:sz w:val="22"/>
        </w:rPr>
        <w:t>2. Temel Kavramlar ve Standardın Çerçevesi</w:t>
      </w:r>
    </w:p>
    <w:p>
      <w:pPr>
        <w:spacing w:before="0" w:after="120"/>
      </w:pPr>
      <w:r>
        <w:rPr>
          <w:rFonts w:ascii="Calibri" w:hAnsi="Calibri"/>
          <w:sz w:val="22"/>
        </w:rPr>
        <w:t>3. Temel Prensipler ve Yaklaşım</w:t>
      </w:r>
    </w:p>
    <w:p>
      <w:pPr>
        <w:spacing w:before="0" w:after="120"/>
      </w:pPr>
      <w:r>
        <w:rPr>
          <w:rFonts w:ascii="Calibri" w:hAnsi="Calibri"/>
          <w:sz w:val="22"/>
        </w:rPr>
        <w:t>4. Standardın Yapısı (Madde 4 – 10)</w:t>
      </w:r>
    </w:p>
    <w:p>
      <w:pPr>
        <w:spacing w:before="0" w:after="120"/>
      </w:pPr>
      <w:r>
        <w:rPr>
          <w:rFonts w:ascii="Calibri" w:hAnsi="Calibri"/>
          <w:sz w:val="22"/>
        </w:rPr>
        <w:t>5. Belgelendirme, Tetkik ve Sürekli İyileştirme</w:t>
      </w:r>
    </w:p>
    <w:p>
      <w:pPr>
        <w:spacing w:before="0" w:after="120"/>
      </w:pPr>
      <w:r>
        <w:rPr>
          <w:rFonts w:ascii="Calibri" w:hAnsi="Calibri"/>
          <w:sz w:val="22"/>
        </w:rPr>
        <w:t>6. Çalışan Olarak Sistemdeki Rolümüz</w:t>
      </w:r>
    </w:p>
    <w:p>
      <w:pPr>
        <w:spacing w:before="0" w:after="120"/>
      </w:pPr>
      <w:r>
        <w:rPr>
          <w:rFonts w:ascii="Calibri" w:hAnsi="Calibri"/>
          <w:sz w:val="22"/>
        </w:rPr>
        <w:t>7. Sıkça Kullanılan Terimler Sözlüğü</w:t>
      </w:r>
    </w:p>
    <w:p>
      <w:pPr>
        <w:spacing w:before="0" w:after="120"/>
      </w:pPr>
      <w:r>
        <w:rPr>
          <w:rFonts w:ascii="Calibri" w:hAnsi="Calibri"/>
          <w:sz w:val="22"/>
        </w:rPr>
        <w:t>8. Kişisel Notlar</w:t>
      </w:r>
    </w:p>
    <w:p>
      <w:r>
        <w:br w:type="page"/>
      </w:r>
    </w:p>
    <w:p>
      <w:pPr>
        <w:pStyle w:val="Balk1"/>
        <w:spacing w:before="280" w:after="160"/>
      </w:pPr>
      <w:r>
        <w:rPr>
          <w:rFonts w:ascii="Calibri" w:hAnsi="Calibri"/>
        </w:rPr>
        <w:t>1. Eğitim Hakkında</w:t>
      </w:r>
    </w:p>
    <w:p>
      <w:pPr>
        <w:pStyle w:val="Balk2"/>
        <w:spacing w:before="200" w:after="160"/>
      </w:pPr>
      <w:r>
        <w:rPr>
          <w:rFonts w:ascii="Calibri" w:hAnsi="Calibri"/>
        </w:rPr>
        <w:t>1.1  Eğitimin Amacı</w:t>
      </w:r>
    </w:p>
    <w:p>
      <w:pPr>
        <w:spacing w:before="0" w:after="120"/>
      </w:pPr>
      <w:r>
        <w:rPr>
          <w:rFonts w:ascii="Calibri" w:hAnsi="Calibri"/>
        </w:rPr>
        <w:t>ISO 9001:2015 standardı, kuruluşumuzun Kalite Yönetim Sistemi alanındaki sistematiğini uluslararası kabul gören bir çerçeveye oturtmamızı sağlar. Bu kitap; eğitim süresince konuyu pekiştirmek ve eğitim sonrasında günlük işinizde başvurabileceğiniz bir kaynak olarak kalmak üzere hazırlanmıştır.</w:t>
      </w:r>
    </w:p>
    <w:p>
      <w:pPr>
        <w:pStyle w:val="Balk2"/>
        <w:spacing w:before="200" w:after="160"/>
      </w:pPr>
      <w:r>
        <w:rPr>
          <w:rFonts w:ascii="Calibri" w:hAnsi="Calibri"/>
        </w:rPr>
        <w:t>1.2  Eğitimin Hedefleri</w:t>
      </w:r>
    </w:p>
    <w:p>
      <w:pPr>
        <w:spacing w:before="0" w:after="120"/>
      </w:pPr>
      <w:r>
        <w:rPr>
          <w:rFonts w:ascii="Calibri" w:hAnsi="Calibri"/>
          <w:sz w:val="22"/>
        </w:rPr>
        <w:t>Eğitimin sonunda katılımcılar:</w:t>
      </w:r>
    </w:p>
    <w:p>
      <w:pPr>
        <w:pStyle w:val="ListeParagraf"/>
        <w:spacing w:after="60"/>
        <w:ind w:left="397"/>
      </w:pPr>
      <w:r>
        <w:rPr>
          <w:rFonts w:ascii="Calibri" w:hAnsi="Calibri"/>
          <w:color w:val="1F2A37"/>
          <w:sz w:val="22"/>
        </w:rPr>
        <w:t>•  ISO 9001:2015 standardının amacını ve yasal/sektörel çerçevesini açıklayabilmek.</w:t>
      </w:r>
    </w:p>
    <w:p>
      <w:pPr>
        <w:pStyle w:val="ListeParagraf"/>
        <w:spacing w:after="60"/>
        <w:ind w:left="397"/>
      </w:pPr>
      <w:r>
        <w:rPr>
          <w:rFonts w:ascii="Calibri" w:hAnsi="Calibri"/>
          <w:color w:val="1F2A37"/>
          <w:sz w:val="22"/>
        </w:rPr>
        <w:t>•  Standardın temel prensiplerini ve günlük işe yansımalarını içselleştirmek.</w:t>
      </w:r>
    </w:p>
    <w:p>
      <w:pPr>
        <w:pStyle w:val="ListeParagraf"/>
        <w:spacing w:after="60"/>
        <w:ind w:left="397"/>
      </w:pPr>
      <w:r>
        <w:rPr>
          <w:rFonts w:ascii="Calibri" w:hAnsi="Calibri"/>
          <w:color w:val="1F2A37"/>
          <w:sz w:val="22"/>
        </w:rPr>
        <w:t>•  Risk tabanlı düşünceyi, fırsat ve tehditleri sahada uygulayabilmek.</w:t>
      </w:r>
    </w:p>
    <w:p>
      <w:pPr>
        <w:pStyle w:val="ListeParagraf"/>
        <w:spacing w:after="60"/>
        <w:ind w:left="397"/>
      </w:pPr>
      <w:r>
        <w:rPr>
          <w:rFonts w:ascii="Calibri" w:hAnsi="Calibri"/>
          <w:color w:val="1F2A37"/>
          <w:sz w:val="22"/>
        </w:rPr>
        <w:t>•  Standardın yapısal gerekliliklerini (Annex SL veya muadili) ana hatlarıyla bilmek.</w:t>
      </w:r>
    </w:p>
    <w:p>
      <w:pPr>
        <w:pStyle w:val="ListeParagraf"/>
        <w:spacing w:after="60"/>
        <w:ind w:left="397"/>
      </w:pPr>
      <w:r>
        <w:rPr>
          <w:rFonts w:ascii="Calibri" w:hAnsi="Calibri"/>
          <w:color w:val="1F2A37"/>
          <w:sz w:val="22"/>
        </w:rPr>
        <w:t>•  Belgelendirme, iç tetkik ve sürekli iyileştirme döngüsünü anlamak.</w:t>
      </w:r>
    </w:p>
    <w:p>
      <w:pPr>
        <w:pStyle w:val="ListeParagraf"/>
        <w:spacing w:after="60"/>
        <w:ind w:left="397"/>
      </w:pPr>
      <w:r>
        <w:rPr>
          <w:rFonts w:ascii="Calibri" w:hAnsi="Calibri"/>
          <w:color w:val="1F2A37"/>
          <w:sz w:val="22"/>
        </w:rPr>
        <w:t>•  Bireysel rol ve sorumlulukları, müşteri/ilgili tarafa karşı hesap verebilirliği tanımlamak.</w:t>
      </w:r>
    </w:p>
    <w:p>
      <w:pPr>
        <w:pStyle w:val="Balk2"/>
        <w:spacing w:before="200" w:after="160"/>
      </w:pPr>
      <w:r>
        <w:rPr>
          <w:rFonts w:ascii="Calibri" w:hAnsi="Calibri"/>
        </w:rPr>
        <w:t>1.3  Eğitim Yöntemi</w:t>
      </w:r>
    </w:p>
    <w:p>
      <w:pPr>
        <w:spacing w:before="0" w:after="120"/>
      </w:pPr>
      <w:r>
        <w:rPr>
          <w:rFonts w:ascii="Calibri" w:hAnsi="Calibri"/>
          <w:sz w:val="22"/>
        </w:rPr>
        <w:t>Eğitim; teorik anlatım, örnek olay analizi, soru-cevap ve katılımcı tartışmaları biçiminde yürütülür. Katılımcıların kendi süreçlerinden örnekler vermesi teşvik edilir. Eğitim sonunda çoktan seçmeli bir değerlendirme sınavı uygulanır; sonuçlar bireysel olarak katılımcılara bildirilir, başarılı katılımcılara katılım belgesi düzenlenir.</w:t>
      </w:r>
    </w:p>
    <w:p>
      <w:pPr>
        <w:pStyle w:val="Balk2"/>
        <w:spacing w:before="200" w:after="160"/>
      </w:pPr>
      <w:r>
        <w:rPr>
          <w:rFonts w:ascii="Calibri" w:hAnsi="Calibri"/>
        </w:rPr>
        <w:t>1.4  Günlük Akış</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Saat</w:t>
            </w:r>
          </w:p>
        </w:tc>
        <w:tc>
          <w:tcPr>
            <w:tcW w:type="dxa" w:w="4513"/>
            <w:shd w:fill="273968"/>
          </w:tcPr>
          <w:p>
            <w:r/>
            <w:r>
              <w:rPr>
                <w:rFonts w:ascii="Calibri" w:hAnsi="Calibri"/>
                <w:b/>
                <w:color w:val="FFFFFF"/>
                <w:sz w:val="20"/>
              </w:rPr>
              <w:t>Konu</w:t>
            </w:r>
          </w:p>
        </w:tc>
      </w:tr>
      <w:tr>
        <w:tc>
          <w:tcPr>
            <w:tcW w:type="dxa" w:w="4513"/>
            <w:shd w:fill="F4F6F9"/>
          </w:tcPr>
          <w:p>
            <w:r/>
            <w:r>
              <w:rPr>
                <w:rFonts w:ascii="Calibri" w:hAnsi="Calibri"/>
                <w:color w:val="1F2A37"/>
                <w:sz w:val="20"/>
              </w:rPr>
              <w:t>09:00 – 10:30</w:t>
            </w:r>
          </w:p>
        </w:tc>
        <w:tc>
          <w:tcPr>
            <w:tcW w:type="dxa" w:w="4513"/>
            <w:shd w:fill="F4F6F9"/>
          </w:tcPr>
          <w:p>
            <w:r/>
            <w:r>
              <w:rPr>
                <w:rFonts w:ascii="Calibri" w:hAnsi="Calibri"/>
                <w:color w:val="1F2A37"/>
                <w:sz w:val="20"/>
              </w:rPr>
              <w:t>Temel kavramlar ve standardın çerçevesi</w:t>
            </w:r>
          </w:p>
        </w:tc>
      </w:tr>
      <w:tr>
        <w:tc>
          <w:tcPr>
            <w:tcW w:type="dxa" w:w="4513"/>
          </w:tcPr>
          <w:p>
            <w:r/>
            <w:r>
              <w:rPr>
                <w:rFonts w:ascii="Calibri" w:hAnsi="Calibri"/>
                <w:color w:val="1F2A37"/>
                <w:sz w:val="20"/>
              </w:rPr>
              <w:t>10:30 – 10:45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10:45 – 12:30</w:t>
            </w:r>
          </w:p>
        </w:tc>
        <w:tc>
          <w:tcPr>
            <w:tcW w:type="dxa" w:w="4513"/>
            <w:shd w:fill="F4F6F9"/>
          </w:tcPr>
          <w:p>
            <w:r/>
            <w:r>
              <w:rPr>
                <w:rFonts w:ascii="Calibri" w:hAnsi="Calibri"/>
                <w:color w:val="1F2A37"/>
                <w:sz w:val="20"/>
              </w:rPr>
              <w:t>Prensipler ve yapısal gereklilikler</w:t>
            </w:r>
          </w:p>
        </w:tc>
      </w:tr>
      <w:tr>
        <w:tc>
          <w:tcPr>
            <w:tcW w:type="dxa" w:w="4513"/>
          </w:tcPr>
          <w:p>
            <w:r/>
            <w:r>
              <w:rPr>
                <w:rFonts w:ascii="Calibri" w:hAnsi="Calibri"/>
                <w:color w:val="1F2A37"/>
                <w:sz w:val="20"/>
              </w:rPr>
              <w:t>12:30 – 13:30</w:t>
            </w:r>
          </w:p>
        </w:tc>
        <w:tc>
          <w:tcPr>
            <w:tcW w:type="dxa" w:w="4513"/>
          </w:tcPr>
          <w:p>
            <w:r/>
            <w:r>
              <w:rPr>
                <w:rFonts w:ascii="Calibri" w:hAnsi="Calibri"/>
                <w:color w:val="1F2A37"/>
                <w:sz w:val="20"/>
              </w:rPr>
              <w:t>Öğle Arası</w:t>
            </w:r>
          </w:p>
        </w:tc>
      </w:tr>
      <w:tr>
        <w:tc>
          <w:tcPr>
            <w:tcW w:type="dxa" w:w="4513"/>
            <w:shd w:fill="F4F6F9"/>
          </w:tcPr>
          <w:p>
            <w:r/>
            <w:r>
              <w:rPr>
                <w:rFonts w:ascii="Calibri" w:hAnsi="Calibri"/>
                <w:color w:val="1F2A37"/>
                <w:sz w:val="20"/>
              </w:rPr>
              <w:t>13:30 – 15:00</w:t>
            </w:r>
          </w:p>
        </w:tc>
        <w:tc>
          <w:tcPr>
            <w:tcW w:type="dxa" w:w="4513"/>
            <w:shd w:fill="F4F6F9"/>
          </w:tcPr>
          <w:p>
            <w:r/>
            <w:r>
              <w:rPr>
                <w:rFonts w:ascii="Calibri" w:hAnsi="Calibri"/>
                <w:color w:val="1F2A37"/>
                <w:sz w:val="20"/>
              </w:rPr>
              <w:t>Standardın maddeleri (Madde 4-7)</w:t>
            </w:r>
          </w:p>
        </w:tc>
      </w:tr>
      <w:tr>
        <w:tc>
          <w:tcPr>
            <w:tcW w:type="dxa" w:w="4513"/>
          </w:tcPr>
          <w:p>
            <w:r/>
            <w:r>
              <w:rPr>
                <w:rFonts w:ascii="Calibri" w:hAnsi="Calibri"/>
                <w:color w:val="1F2A37"/>
                <w:sz w:val="20"/>
              </w:rPr>
              <w:t>15:00 – 15:15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15:15 – 16:30</w:t>
            </w:r>
          </w:p>
        </w:tc>
        <w:tc>
          <w:tcPr>
            <w:tcW w:type="dxa" w:w="4513"/>
            <w:shd w:fill="F4F6F9"/>
          </w:tcPr>
          <w:p>
            <w:r/>
            <w:r>
              <w:rPr>
                <w:rFonts w:ascii="Calibri" w:hAnsi="Calibri"/>
                <w:color w:val="1F2A37"/>
                <w:sz w:val="20"/>
              </w:rPr>
              <w:t>Standardın maddeleri (Madde 8-10) + Belgelendirme</w:t>
            </w:r>
          </w:p>
        </w:tc>
      </w:tr>
      <w:tr>
        <w:tc>
          <w:tcPr>
            <w:tcW w:type="dxa" w:w="4513"/>
          </w:tcPr>
          <w:p>
            <w:r/>
            <w:r>
              <w:rPr>
                <w:rFonts w:ascii="Calibri" w:hAnsi="Calibri"/>
                <w:color w:val="1F2A37"/>
                <w:sz w:val="20"/>
              </w:rPr>
              <w:t>16:30 – 17:00</w:t>
            </w:r>
          </w:p>
        </w:tc>
        <w:tc>
          <w:tcPr>
            <w:tcW w:type="dxa" w:w="4513"/>
          </w:tcPr>
          <w:p>
            <w:r/>
            <w:r>
              <w:rPr>
                <w:rFonts w:ascii="Calibri" w:hAnsi="Calibri"/>
                <w:color w:val="1F2A37"/>
                <w:sz w:val="20"/>
              </w:rPr>
              <w:t>Değerlendirme &amp; Sınav</w:t>
            </w:r>
          </w:p>
        </w:tc>
      </w:tr>
    </w:tbl>
    <w:p>
      <w:r>
        <w:br w:type="page"/>
      </w:r>
    </w:p>
    <w:p>
      <w:pPr>
        <w:pStyle w:val="Balk1"/>
        <w:spacing w:before="280" w:after="160"/>
      </w:pPr>
      <w:r>
        <w:rPr>
          <w:rFonts w:ascii="Calibri" w:hAnsi="Calibri"/>
        </w:rPr>
        <w:t>2. Temel Kavramlar ve Standardın Çerçevesi</w:t>
      </w:r>
    </w:p>
    <w:p>
      <w:pPr>
        <w:spacing w:before="0" w:after="120"/>
      </w:pPr>
      <w:r>
        <w:rPr>
          <w:rFonts w:ascii="Calibri" w:hAnsi="Calibri"/>
          <w:sz w:val="22"/>
        </w:rPr>
        <w:t>ISO 9001:2015, Kalite Yönetim Sistemi alanında Tüm çalışanlar; özellikle süreç sahipleri, yöneticiler ve kalite ekipleri için sistematik bir çerçeve sunar. Bu bölümde standardın amacı, terminolojisi ve gelişim çizgisi ele alınır.</w:t>
      </w:r>
    </w:p>
    <w:p>
      <w:pPr>
        <w:pStyle w:val="Balk2"/>
        <w:spacing w:before="200" w:after="160"/>
      </w:pPr>
      <w:r>
        <w:rPr>
          <w:rFonts w:ascii="Calibri" w:hAnsi="Calibri"/>
        </w:rPr>
        <w:t>2.1  Standardın Amacı ve Kapsamı</w:t>
      </w:r>
    </w:p>
    <w:p>
      <w:pPr>
        <w:spacing w:before="0" w:after="120"/>
      </w:pPr>
      <w:r>
        <w:rPr>
          <w:rFonts w:ascii="Calibri" w:hAnsi="Calibri"/>
          <w:sz w:val="22"/>
        </w:rPr>
        <w:t>ISO 9001:2015, kuruluşların Kalite Yönetim Sistemi konusunda sistematik, ölçülebilir ve sürekli iyileşen bir yönetim yaklaşımı kurmalarını hedefler. Yasal ve sektörel gerekliliklerle uyum sağlar; iç ve dış paydaşlara güven verir.</w:t>
      </w:r>
    </w:p>
    <w:p>
      <w:pPr>
        <w:spacing w:before="0" w:after="120"/>
      </w:pPr>
      <w:r>
        <w:rPr>
          <w:rFonts w:ascii="Calibri" w:hAnsi="Calibri"/>
          <w:sz w:val="22"/>
        </w:rPr>
        <w:t>Standardın kapsamı; uygulanma biçimine, lokasyona, ürün/hizmet yelpazesine göre kuruluşa özgü olarak belirlenir. Kapsam dışı bırakılan alanlar gerekçeleriyle yazılı olarak tanımlanmalıdır.</w:t>
      </w:r>
    </w:p>
    <w:p>
      <w:pPr>
        <w:pStyle w:val="Balk2"/>
        <w:spacing w:before="200" w:after="160"/>
      </w:pPr>
      <w:r>
        <w:rPr>
          <w:rFonts w:ascii="Calibri" w:hAnsi="Calibri"/>
        </w:rPr>
        <w:t>2.2  Anahtar Kavramlar (Terimler)</w:t>
      </w:r>
    </w:p>
    <w:p>
      <w:pPr>
        <w:spacing w:before="0" w:after="120"/>
      </w:pPr>
      <w:r>
        <w:rPr>
          <w:rFonts w:ascii="Calibri" w:hAnsi="Calibri"/>
          <w:sz w:val="22"/>
        </w:rPr>
        <w:t>Standartta sık kullanılan ve eğitim boyunca karşılaşacağınız önemli terimler:</w:t>
      </w:r>
    </w:p>
    <w:p>
      <w:pPr>
        <w:pStyle w:val="ListeParagraf"/>
        <w:spacing w:after="60"/>
        <w:ind w:left="397"/>
      </w:pPr>
      <w:r>
        <w:rPr>
          <w:rFonts w:ascii="Calibri" w:hAnsi="Calibri"/>
          <w:color w:val="1F2A37"/>
          <w:sz w:val="22"/>
        </w:rPr>
        <w:t>•  Kalite: ISO 9000 tanımı: 'Bir nesnenin doğal özellikler kümesinin şartları karşılama derecesi.'</w:t>
      </w:r>
    </w:p>
    <w:p>
      <w:pPr>
        <w:pStyle w:val="ListeParagraf"/>
        <w:spacing w:after="60"/>
        <w:ind w:left="397"/>
      </w:pPr>
      <w:r>
        <w:rPr>
          <w:rFonts w:ascii="Calibri" w:hAnsi="Calibri"/>
          <w:color w:val="1F2A37"/>
          <w:sz w:val="22"/>
        </w:rPr>
        <w:t>•  KYS: Kalite Yönetim Sistemi — politika, hedef, süreç ve kaynakların entegre bütünü.</w:t>
      </w:r>
    </w:p>
    <w:p>
      <w:pPr>
        <w:pStyle w:val="ListeParagraf"/>
        <w:spacing w:after="60"/>
        <w:ind w:left="397"/>
      </w:pPr>
      <w:r>
        <w:rPr>
          <w:rFonts w:ascii="Calibri" w:hAnsi="Calibri"/>
          <w:color w:val="1F2A37"/>
          <w:sz w:val="22"/>
        </w:rPr>
        <w:t>•  PUKÖ Döngüsü: Planla – Uygula – Kontrol Et – Önlem Al; sürekli iyileştirmenin matematiği.</w:t>
      </w:r>
    </w:p>
    <w:p>
      <w:pPr>
        <w:pStyle w:val="ListeParagraf"/>
        <w:spacing w:after="60"/>
        <w:ind w:left="397"/>
      </w:pPr>
      <w:r>
        <w:rPr>
          <w:rFonts w:ascii="Calibri" w:hAnsi="Calibri"/>
          <w:color w:val="1F2A37"/>
          <w:sz w:val="22"/>
        </w:rPr>
        <w:t>•  Risk Tabanlı Düşünce: Olası belirsizliklerin sistemli ele alınması; eski 'önleyici faaliyet' yerine.</w:t>
      </w:r>
    </w:p>
    <w:p>
      <w:pPr>
        <w:pStyle w:val="ListeParagraf"/>
        <w:spacing w:after="60"/>
        <w:ind w:left="397"/>
      </w:pPr>
      <w:r>
        <w:rPr>
          <w:rFonts w:ascii="Calibri" w:hAnsi="Calibri"/>
          <w:color w:val="1F2A37"/>
          <w:sz w:val="22"/>
        </w:rPr>
        <w:t>•  Belgelendirilmiş Bilgi: Doküman (tutulması ve güncellenmesi) + Kayıt (kanıt amaçlı saklanan).</w:t>
      </w:r>
    </w:p>
    <w:p>
      <w:pPr>
        <w:pStyle w:val="ListeParagraf"/>
        <w:spacing w:after="60"/>
        <w:ind w:left="397"/>
      </w:pPr>
      <w:r>
        <w:rPr>
          <w:rFonts w:ascii="Calibri" w:hAnsi="Calibri"/>
          <w:color w:val="1F2A37"/>
          <w:sz w:val="22"/>
        </w:rPr>
        <w:t>•  İlgili Taraflar: Kuruluşu etkileyen veya etkilenen müşteri, çalışan, tedarikçi, regülatör, toplum.</w:t>
      </w:r>
    </w:p>
    <w:p>
      <w:pPr>
        <w:pStyle w:val="ListeParagraf"/>
        <w:spacing w:after="60"/>
        <w:ind w:left="397"/>
      </w:pPr>
      <w:r>
        <w:rPr>
          <w:rFonts w:ascii="Calibri" w:hAnsi="Calibri"/>
          <w:color w:val="1F2A37"/>
          <w:sz w:val="22"/>
        </w:rPr>
        <w:t>•  Bağlam: Kuruluşun iç ve dış konumunu belirleyen meseleler (PESTEL/SWOT).</w:t>
      </w:r>
    </w:p>
    <w:p>
      <w:pPr>
        <w:pStyle w:val="ListeParagraf"/>
        <w:spacing w:after="60"/>
        <w:ind w:left="397"/>
      </w:pPr>
      <w:r>
        <w:rPr>
          <w:rFonts w:ascii="Calibri" w:hAnsi="Calibri"/>
          <w:color w:val="1F2A37"/>
          <w:sz w:val="22"/>
        </w:rPr>
        <w:t>•  Müşteri Memnuniyeti: Müşterinin algıladığı performansın beklentilerine göre değerlendirmesi.</w:t>
      </w:r>
    </w:p>
    <w:p>
      <w:pPr>
        <w:pStyle w:val="ListeParagraf"/>
        <w:spacing w:after="60"/>
        <w:ind w:left="397"/>
      </w:pPr>
      <w:r>
        <w:rPr>
          <w:rFonts w:ascii="Calibri" w:hAnsi="Calibri"/>
          <w:color w:val="1F2A37"/>
          <w:sz w:val="22"/>
        </w:rPr>
        <w:t>•  DÖF: Düzeltici (ve Önleyici) Faaliyet — uygunsuzluğun kök nedenle çözümü.</w:t>
      </w:r>
    </w:p>
    <w:p>
      <w:pPr>
        <w:pStyle w:val="ListeParagraf"/>
        <w:spacing w:after="60"/>
        <w:ind w:left="397"/>
      </w:pPr>
      <w:r>
        <w:rPr>
          <w:rFonts w:ascii="Calibri" w:hAnsi="Calibri"/>
          <w:color w:val="1F2A37"/>
          <w:sz w:val="22"/>
        </w:rPr>
        <w:t>•  YGG: Yönetimin Gözden Geçirmesi — üst yönetimin planlı sistem değerlendirmesi.</w:t>
      </w:r>
    </w:p>
    <w:p>
      <w:pPr>
        <w:pStyle w:val="Balk2"/>
        <w:spacing w:before="200" w:after="160"/>
      </w:pPr>
      <w:r>
        <w:rPr>
          <w:rFonts w:ascii="Calibri" w:hAnsi="Calibri"/>
        </w:rPr>
        <w:t>2.3  Tarihçe ve Gelişim</w:t>
      </w:r>
    </w:p>
    <w:p>
      <w:pPr>
        <w:spacing w:before="0" w:after="120"/>
      </w:pPr>
      <w:r>
        <w:rPr>
          <w:rFonts w:ascii="Calibri" w:hAnsi="Calibri"/>
          <w:sz w:val="22"/>
        </w:rPr>
        <w:t>Standardın bugünkü hâline gelmesindeki önemli kilometre taşları:</w:t>
      </w:r>
    </w:p>
    <w:p>
      <w:pPr>
        <w:pStyle w:val="ListeParagraf"/>
        <w:spacing w:after="60"/>
        <w:ind w:left="397"/>
      </w:pPr>
      <w:r>
        <w:rPr>
          <w:rFonts w:ascii="Calibri" w:hAnsi="Calibri"/>
          <w:color w:val="1F2A37"/>
          <w:sz w:val="22"/>
        </w:rPr>
        <w:t>•  1947 — ISO (International Organization for Standardization) kuruldu.</w:t>
      </w:r>
    </w:p>
    <w:p>
      <w:pPr>
        <w:pStyle w:val="ListeParagraf"/>
        <w:spacing w:after="60"/>
        <w:ind w:left="397"/>
      </w:pPr>
      <w:r>
        <w:rPr>
          <w:rFonts w:ascii="Calibri" w:hAnsi="Calibri"/>
          <w:color w:val="1F2A37"/>
          <w:sz w:val="22"/>
        </w:rPr>
        <w:t>•  1987 — ISO 9001 ilk sürümü; sektör bağımsız KYS çerçevesi olarak yayımlandı.</w:t>
      </w:r>
    </w:p>
    <w:p>
      <w:pPr>
        <w:pStyle w:val="ListeParagraf"/>
        <w:spacing w:after="60"/>
        <w:ind w:left="397"/>
      </w:pPr>
      <w:r>
        <w:rPr>
          <w:rFonts w:ascii="Calibri" w:hAnsi="Calibri"/>
          <w:color w:val="1F2A37"/>
          <w:sz w:val="22"/>
        </w:rPr>
        <w:t>•  2000 — Süreç yaklaşımı, müşteri odaklılık ve sürekli iyileştirme öne çıkarıldı.</w:t>
      </w:r>
    </w:p>
    <w:p>
      <w:pPr>
        <w:pStyle w:val="ListeParagraf"/>
        <w:spacing w:after="60"/>
        <w:ind w:left="397"/>
      </w:pPr>
      <w:r>
        <w:rPr>
          <w:rFonts w:ascii="Calibri" w:hAnsi="Calibri"/>
          <w:color w:val="1F2A37"/>
          <w:sz w:val="22"/>
        </w:rPr>
        <w:t>•  2015 — Annex SL üst yapısı ve risk tabanlı düşünce entegre edildi.</w:t>
      </w:r>
    </w:p>
    <w:p>
      <w:pPr>
        <w:pStyle w:val="ListeParagraf"/>
        <w:spacing w:after="60"/>
        <w:ind w:left="397"/>
      </w:pPr>
      <w:r>
        <w:rPr>
          <w:rFonts w:ascii="Calibri" w:hAnsi="Calibri"/>
          <w:color w:val="1F2A37"/>
          <w:sz w:val="22"/>
        </w:rPr>
        <w:t>•  Bugün — Dünya genelinde 1.000.000+ kuruluş ISO 9001 belgelidir.</w:t>
      </w:r>
    </w:p>
    <w:p>
      <w:r>
        <w:br w:type="page"/>
      </w:r>
    </w:p>
    <w:p>
      <w:pPr>
        <w:pStyle w:val="Balk1"/>
        <w:spacing w:before="280" w:after="160"/>
      </w:pPr>
      <w:r>
        <w:rPr>
          <w:rFonts w:ascii="Calibri" w:hAnsi="Calibri"/>
        </w:rPr>
        <w:t>3. Temel Prensipler ve Yaklaşım</w:t>
      </w:r>
    </w:p>
    <w:p>
      <w:pPr>
        <w:spacing w:before="0" w:after="120"/>
      </w:pPr>
      <w:r>
        <w:rPr>
          <w:rFonts w:ascii="Calibri" w:hAnsi="Calibri"/>
          <w:sz w:val="22"/>
        </w:rPr>
        <w:t>ISO 9001:2015'in dayandığı temel prensipler, sistemin kalbidir. Her prensip günlük iş içinde somut karşılığı olan, uygulamayı yönlendiren bir bakış açısıdır.</w:t>
      </w:r>
    </w:p>
    <w:p>
      <w:pPr>
        <w:pStyle w:val="Balk2"/>
        <w:spacing w:before="200" w:after="160"/>
      </w:pPr>
      <w:r>
        <w:rPr>
          <w:rFonts w:ascii="Calibri" w:hAnsi="Calibri"/>
        </w:rPr>
        <w:t>3.1  Müşteri Odaklılık</w:t>
      </w:r>
    </w:p>
    <w:p>
      <w:pPr>
        <w:spacing w:before="0" w:after="120"/>
      </w:pPr>
      <w:r>
        <w:rPr>
          <w:rFonts w:ascii="Calibri" w:hAnsi="Calibri"/>
          <w:sz w:val="22"/>
        </w:rPr>
        <w:t>Mevcut ve gelecekteki müşteri ihtiyaçlarını anlamak; ihtiyaçların ötesine geçen değer sunmak.</w:t>
      </w:r>
    </w:p>
    <w:p>
      <w:pPr>
        <w:pStyle w:val="Balk2"/>
        <w:spacing w:before="200" w:after="160"/>
      </w:pPr>
      <w:r>
        <w:rPr>
          <w:rFonts w:ascii="Calibri" w:hAnsi="Calibri"/>
        </w:rPr>
        <w:t>3.2  Liderlik</w:t>
      </w:r>
    </w:p>
    <w:p>
      <w:pPr>
        <w:spacing w:before="0" w:after="120"/>
      </w:pPr>
      <w:r>
        <w:rPr>
          <w:rFonts w:ascii="Calibri" w:hAnsi="Calibri"/>
          <w:sz w:val="22"/>
        </w:rPr>
        <w:t>Üst yönetimin amacı, yönü ve iç koşulları belirleme sorumluluğu; sistemin yönetsel sahipliği.</w:t>
      </w:r>
    </w:p>
    <w:p>
      <w:pPr>
        <w:pStyle w:val="Balk2"/>
        <w:spacing w:before="200" w:after="160"/>
      </w:pPr>
      <w:r>
        <w:rPr>
          <w:rFonts w:ascii="Calibri" w:hAnsi="Calibri"/>
        </w:rPr>
        <w:t>3.3  İnsanların Katılımı</w:t>
      </w:r>
    </w:p>
    <w:p>
      <w:pPr>
        <w:spacing w:before="0" w:after="120"/>
      </w:pPr>
      <w:r>
        <w:rPr>
          <w:rFonts w:ascii="Calibri" w:hAnsi="Calibri"/>
          <w:sz w:val="22"/>
        </w:rPr>
        <w:t>Her seviyedeki çalışanın katkısı kaliteyi belirler; yetki, gelişim ve dahil etme esastır.</w:t>
      </w:r>
    </w:p>
    <w:p>
      <w:pPr>
        <w:pStyle w:val="Balk2"/>
        <w:spacing w:before="200" w:after="160"/>
      </w:pPr>
      <w:r>
        <w:rPr>
          <w:rFonts w:ascii="Calibri" w:hAnsi="Calibri"/>
        </w:rPr>
        <w:t>3.4  Süreç Yaklaşımı</w:t>
      </w:r>
    </w:p>
    <w:p>
      <w:pPr>
        <w:spacing w:before="0" w:after="120"/>
      </w:pPr>
      <w:r>
        <w:rPr>
          <w:rFonts w:ascii="Calibri" w:hAnsi="Calibri"/>
          <w:sz w:val="22"/>
        </w:rPr>
        <w:t>İstenen sonuçlar, faaliyetler ve kaynaklar süreçler olarak yönetildiğinde daha verimli elde edilir.</w:t>
      </w:r>
    </w:p>
    <w:p>
      <w:pPr>
        <w:pStyle w:val="Balk2"/>
        <w:spacing w:before="200" w:after="160"/>
      </w:pPr>
      <w:r>
        <w:rPr>
          <w:rFonts w:ascii="Calibri" w:hAnsi="Calibri"/>
        </w:rPr>
        <w:t>3.5  İyileştirme</w:t>
      </w:r>
    </w:p>
    <w:p>
      <w:pPr>
        <w:spacing w:before="0" w:after="120"/>
      </w:pPr>
      <w:r>
        <w:rPr>
          <w:rFonts w:ascii="Calibri" w:hAnsi="Calibri"/>
          <w:sz w:val="22"/>
        </w:rPr>
        <w:t>Süreklilik kuruluşun temel hedeflerinden biridir; her döngü bir öncekinden daha iyi olmalıdır.</w:t>
      </w:r>
    </w:p>
    <w:p>
      <w:pPr>
        <w:pStyle w:val="Balk2"/>
        <w:spacing w:before="200" w:after="160"/>
      </w:pPr>
      <w:r>
        <w:rPr>
          <w:rFonts w:ascii="Calibri" w:hAnsi="Calibri"/>
        </w:rPr>
        <w:t>3.6  Kanıta Dayalı Karar Verme</w:t>
      </w:r>
    </w:p>
    <w:p>
      <w:pPr>
        <w:spacing w:before="0" w:after="120"/>
      </w:pPr>
      <w:r>
        <w:rPr>
          <w:rFonts w:ascii="Calibri" w:hAnsi="Calibri"/>
          <w:sz w:val="22"/>
        </w:rPr>
        <w:t>Etkili kararlar verinin analiz ve değerlendirilmesine dayanır; sezgi yerine sistematik.</w:t>
      </w:r>
    </w:p>
    <w:p>
      <w:pPr>
        <w:pStyle w:val="Balk2"/>
        <w:spacing w:before="200" w:after="160"/>
      </w:pPr>
      <w:r>
        <w:rPr>
          <w:rFonts w:ascii="Calibri" w:hAnsi="Calibri"/>
        </w:rPr>
        <w:t>3.7  İlişki Yönetimi</w:t>
      </w:r>
    </w:p>
    <w:p>
      <w:pPr>
        <w:spacing w:before="0" w:after="120"/>
      </w:pPr>
      <w:r>
        <w:rPr>
          <w:rFonts w:ascii="Calibri" w:hAnsi="Calibri"/>
          <w:sz w:val="22"/>
        </w:rPr>
        <w:t>Tedarikçi, müşteri ve iç paydaşlarla sürdürülebilir, karşılıklı yarara dayalı ilişkiler.</w:t>
      </w:r>
    </w:p>
    <w:p>
      <w:pPr>
        <w:pStyle w:val="Balk2"/>
        <w:spacing w:before="200" w:after="160"/>
      </w:pPr>
      <w:r>
        <w:rPr>
          <w:rFonts w:ascii="Calibri" w:hAnsi="Calibri"/>
        </w:rPr>
        <w:t>3.8  PUKÖ Döngüsü ve Risk Tabanlı Düşünce</w:t>
      </w:r>
    </w:p>
    <w:p>
      <w:pPr>
        <w:spacing w:before="0" w:after="120"/>
      </w:pPr>
      <w:r>
        <w:rPr>
          <w:rFonts w:ascii="Calibri" w:hAnsi="Calibri"/>
          <w:sz w:val="22"/>
        </w:rPr>
        <w:t>PUKÖ (Planla – Uygula – Kontrol Et – Önlem Al) döngüsü, sürekli iyileştirmenin matematiğidir. 2015 sonrası standartlara açıkça entegre edilen 'risk tabanlı düşünce' ise eski 'önleyici faaliyet' kavramının yerini almıştır.</w:t>
      </w:r>
    </w:p>
    <w:p>
      <w:pPr>
        <w:pStyle w:val="ListeParagraf"/>
        <w:spacing w:after="60"/>
        <w:ind w:left="397"/>
      </w:pPr>
      <w:r>
        <w:rPr>
          <w:rFonts w:ascii="Calibri" w:hAnsi="Calibri"/>
          <w:color w:val="1F2A37"/>
          <w:sz w:val="22"/>
        </w:rPr>
        <w:t>•  Planla: bağlamı, paydaşları, riskleri ve hedefleri belirle.</w:t>
      </w:r>
    </w:p>
    <w:p>
      <w:pPr>
        <w:pStyle w:val="ListeParagraf"/>
        <w:spacing w:after="60"/>
        <w:ind w:left="397"/>
      </w:pPr>
      <w:r>
        <w:rPr>
          <w:rFonts w:ascii="Calibri" w:hAnsi="Calibri"/>
          <w:color w:val="1F2A37"/>
          <w:sz w:val="22"/>
        </w:rPr>
        <w:t>•  Uygula: süreçleri yürüt, kaynakları tahsis et, kayıtları tut.</w:t>
      </w:r>
    </w:p>
    <w:p>
      <w:pPr>
        <w:pStyle w:val="ListeParagraf"/>
        <w:spacing w:after="60"/>
        <w:ind w:left="397"/>
      </w:pPr>
      <w:r>
        <w:rPr>
          <w:rFonts w:ascii="Calibri" w:hAnsi="Calibri"/>
          <w:color w:val="1F2A37"/>
          <w:sz w:val="22"/>
        </w:rPr>
        <w:t>•  Kontrol Et: izle, ölç, analiz et; iç tetkik ve YGG ile değerlendir.</w:t>
      </w:r>
    </w:p>
    <w:p>
      <w:pPr>
        <w:pStyle w:val="ListeParagraf"/>
        <w:spacing w:after="60"/>
        <w:ind w:left="397"/>
      </w:pPr>
      <w:r>
        <w:rPr>
          <w:rFonts w:ascii="Calibri" w:hAnsi="Calibri"/>
          <w:color w:val="1F2A37"/>
          <w:sz w:val="22"/>
        </w:rPr>
        <w:t>•  Önlem Al: uygunsuzlukları kök nedenle çöz, sistemi iyileştir, yeni döngüye başla.</w:t>
      </w:r>
    </w:p>
    <w:p>
      <w:r>
        <w:br w:type="page"/>
      </w:r>
    </w:p>
    <w:p>
      <w:pPr>
        <w:pStyle w:val="Balk1"/>
        <w:spacing w:before="280" w:after="160"/>
      </w:pPr>
      <w:r>
        <w:rPr>
          <w:rFonts w:ascii="Calibri" w:hAnsi="Calibri"/>
        </w:rPr>
        <w:t>4. Standardın Yapısı (Madde 4 – 10)</w:t>
      </w:r>
    </w:p>
    <w:p>
      <w:pPr>
        <w:spacing w:before="0" w:after="120"/>
      </w:pPr>
      <w:r>
        <w:rPr>
          <w:rFonts w:ascii="Calibri" w:hAnsi="Calibri"/>
          <w:sz w:val="22"/>
        </w:rPr>
        <w:t>Annex SL üst yapısı, ISO yönetim sistemi standartlarına ortak bir mimari sağlar. Aşağıda standardın ana maddeleri, temel şartları ve günlük uygulamaya etkileri yer alır.</w:t>
      </w:r>
    </w:p>
    <w:p>
      <w:pPr>
        <w:pStyle w:val="Balk2"/>
        <w:spacing w:before="200" w:after="160"/>
      </w:pPr>
      <w:r>
        <w:rPr>
          <w:rFonts w:ascii="Calibri" w:hAnsi="Calibri"/>
        </w:rPr>
        <w:t>4.1  Madde 4 — Kuruluşun Bağlamı</w:t>
      </w:r>
    </w:p>
    <w:p>
      <w:pPr>
        <w:spacing w:before="0" w:after="120"/>
      </w:pPr>
      <w:r>
        <w:rPr>
          <w:rFonts w:ascii="Calibri" w:hAnsi="Calibri"/>
          <w:sz w:val="22"/>
        </w:rPr>
        <w:t>Kuruluşun iç ve dış konumunu, ilgili tarafların beklentilerini ve sistemin kapsamını sistematik biçimde belirler.</w:t>
      </w:r>
    </w:p>
    <w:p>
      <w:pPr>
        <w:pStyle w:val="ListeParagraf"/>
        <w:spacing w:after="60"/>
        <w:ind w:left="397"/>
      </w:pPr>
      <w:r>
        <w:rPr>
          <w:rFonts w:ascii="Calibri" w:hAnsi="Calibri"/>
          <w:color w:val="1F2A37"/>
          <w:sz w:val="22"/>
        </w:rPr>
        <w:t>•  4.1 İç ve dış meselelerin anlaşılması: PESTEL (Politik, Ekonomik, Sosyal, Teknolojik, Çevresel, Yasal) ve SWOT analizleriyle kuruluşun bağlamı haritalanır.</w:t>
      </w:r>
    </w:p>
    <w:p>
      <w:pPr>
        <w:pStyle w:val="ListeParagraf"/>
        <w:spacing w:after="60"/>
        <w:ind w:left="397"/>
      </w:pPr>
      <w:r>
        <w:rPr>
          <w:rFonts w:ascii="Calibri" w:hAnsi="Calibri"/>
          <w:color w:val="1F2A37"/>
          <w:sz w:val="22"/>
        </w:rPr>
        <w:t>•  4.2 İlgili tarafların beklentileri: Müşteri, çalışan, tedarikçi, regülatör, toplum ve diğer paydaşların ihtiyaçları sistematik olarak izlenir.</w:t>
      </w:r>
    </w:p>
    <w:p>
      <w:pPr>
        <w:pStyle w:val="ListeParagraf"/>
        <w:spacing w:after="60"/>
        <w:ind w:left="397"/>
      </w:pPr>
      <w:r>
        <w:rPr>
          <w:rFonts w:ascii="Calibri" w:hAnsi="Calibri"/>
          <w:color w:val="1F2A37"/>
          <w:sz w:val="22"/>
        </w:rPr>
        <w:t>•  4.3 Sistemin kapsamının belirlenmesi: Hangi süreçler, lokasyonlar, ürün/hizmetler kapsam içinde, hangileri dışında — yazılı olarak tanımlanır.</w:t>
      </w:r>
    </w:p>
    <w:p>
      <w:pPr>
        <w:pStyle w:val="ListeParagraf"/>
        <w:spacing w:after="60"/>
        <w:ind w:left="397"/>
      </w:pPr>
      <w:r>
        <w:rPr>
          <w:rFonts w:ascii="Calibri" w:hAnsi="Calibri"/>
          <w:color w:val="1F2A37"/>
          <w:sz w:val="22"/>
        </w:rPr>
        <w:t>•  4.4 Sistem ve süreçlerinin kurulması: PUKÖ döngüsü temelli süreç haritası; her sürecin sahibi, KPI'ları ve risk-fırsat değerlendirmesi.</w:t>
      </w:r>
    </w:p>
    <w:p>
      <w:pPr>
        <w:spacing w:before="120" w:after="120"/>
      </w:pPr>
      <w:r>
        <w:rPr>
          <w:rFonts w:ascii="Calibri" w:hAnsi="Calibri"/>
          <w:b/>
          <w:color w:val="EF7B2C"/>
          <w:sz w:val="22"/>
        </w:rPr>
        <w:t>ÖNEMLİ: Bağlam analizi sadece yıllık yapılan bir form değil; stratejik kararların temelinde sürekli kullanılan canlı bir araçtır.</w:t>
      </w:r>
    </w:p>
    <w:p>
      <w:pPr>
        <w:pStyle w:val="Balk2"/>
        <w:spacing w:before="200" w:after="160"/>
      </w:pPr>
      <w:r>
        <w:rPr>
          <w:rFonts w:ascii="Calibri" w:hAnsi="Calibri"/>
        </w:rPr>
        <w:t>4.2  Madde 5 — Liderlik</w:t>
      </w:r>
    </w:p>
    <w:p>
      <w:pPr>
        <w:spacing w:before="0" w:after="120"/>
      </w:pPr>
      <w:r>
        <w:rPr>
          <w:rFonts w:ascii="Calibri" w:hAnsi="Calibri"/>
          <w:sz w:val="22"/>
        </w:rPr>
        <w:t>Üst yönetimin sisteme somut sahipliği; politika, sorumluluk ve müşteri odaklılığın liderlik tarafından sahiplenilmesi.</w:t>
      </w:r>
    </w:p>
    <w:p>
      <w:pPr>
        <w:pStyle w:val="ListeParagraf"/>
        <w:spacing w:after="60"/>
        <w:ind w:left="397"/>
      </w:pPr>
      <w:r>
        <w:rPr>
          <w:rFonts w:ascii="Calibri" w:hAnsi="Calibri"/>
          <w:color w:val="1F2A37"/>
          <w:sz w:val="22"/>
        </w:rPr>
        <w:t>•  5.1 Liderlik ve taahhüt: Üst yönetim hesap verebilirliği, kaynak tahsisi, sistem etkinliğini gözden geçirme, müşteri odaklılığı işin kalbine yerleştirme.</w:t>
      </w:r>
    </w:p>
    <w:p>
      <w:pPr>
        <w:pStyle w:val="ListeParagraf"/>
        <w:spacing w:after="60"/>
        <w:ind w:left="397"/>
      </w:pPr>
      <w:r>
        <w:rPr>
          <w:rFonts w:ascii="Calibri" w:hAnsi="Calibri"/>
          <w:color w:val="1F2A37"/>
          <w:sz w:val="22"/>
        </w:rPr>
        <w:t>•  5.2 Politika: Stratejik yöne uygun, taahhüt içeren, ölçülebilir hedeflere temel oluşturan; tüm çalışanlara duyurulan ve ilgili tarafların erişimine açık politika.</w:t>
      </w:r>
    </w:p>
    <w:p>
      <w:pPr>
        <w:pStyle w:val="ListeParagraf"/>
        <w:spacing w:after="60"/>
        <w:ind w:left="397"/>
      </w:pPr>
      <w:r>
        <w:rPr>
          <w:rFonts w:ascii="Calibri" w:hAnsi="Calibri"/>
          <w:color w:val="1F2A37"/>
          <w:sz w:val="22"/>
        </w:rPr>
        <w:t>•  5.3 Görev, sorumluluk ve yetkiler: RACI matrisi gibi araçlarla net rol haritası; KYS'nin sahibi üst yönetim, eski 'Kalite Yönetim Temsilcisi' zorunluluğu kaldırılmıştır.</w:t>
      </w:r>
    </w:p>
    <w:p>
      <w:pPr>
        <w:spacing w:before="120" w:after="120"/>
      </w:pPr>
      <w:r>
        <w:rPr>
          <w:rFonts w:ascii="Calibri" w:hAnsi="Calibri"/>
          <w:b/>
          <w:color w:val="EF7B2C"/>
          <w:sz w:val="22"/>
        </w:rPr>
        <w:t>ÖNEMLİ: Liderlik delegasyon değildir — politika, hedef ve sonuçların hesabını üst yönetim verir.</w:t>
      </w:r>
    </w:p>
    <w:p>
      <w:pPr>
        <w:pStyle w:val="Balk2"/>
        <w:spacing w:before="200" w:after="160"/>
      </w:pPr>
      <w:r>
        <w:rPr>
          <w:rFonts w:ascii="Calibri" w:hAnsi="Calibri"/>
        </w:rPr>
        <w:t>4.3  Madde 6 — Planlama</w:t>
      </w:r>
    </w:p>
    <w:p>
      <w:pPr>
        <w:spacing w:before="0" w:after="120"/>
      </w:pPr>
      <w:r>
        <w:rPr>
          <w:rFonts w:ascii="Calibri" w:hAnsi="Calibri"/>
          <w:sz w:val="22"/>
        </w:rPr>
        <w:t>Risk ve fırsatların ele alınması, ölçülebilir hedeflerin belirlenmesi ve değişikliklerin yönetilmesi.</w:t>
      </w:r>
    </w:p>
    <w:p>
      <w:pPr>
        <w:pStyle w:val="ListeParagraf"/>
        <w:spacing w:after="60"/>
        <w:ind w:left="397"/>
      </w:pPr>
      <w:r>
        <w:rPr>
          <w:rFonts w:ascii="Calibri" w:hAnsi="Calibri"/>
          <w:color w:val="1F2A37"/>
          <w:sz w:val="22"/>
        </w:rPr>
        <w:t>•  6.1 Risk ve fırsatlar: Olasılık × etki matrisi, FMEA, kök neden analizi, bow-tie gibi araçlarla risklerin ve fırsatların sistematik değerlendirmesi.</w:t>
      </w:r>
    </w:p>
    <w:p>
      <w:pPr>
        <w:pStyle w:val="ListeParagraf"/>
        <w:spacing w:after="60"/>
        <w:ind w:left="397"/>
      </w:pPr>
      <w:r>
        <w:rPr>
          <w:rFonts w:ascii="Calibri" w:hAnsi="Calibri"/>
          <w:color w:val="1F2A37"/>
          <w:sz w:val="22"/>
        </w:rPr>
        <w:t>•  6.2 Hedefler: SMART hedefler: spesifik, ölçülebilir, ulaşılabilir, ilgili, zamanlı; her hedef için aksiyon planı, kaynak, sorumlu ve takip kriteri.</w:t>
      </w:r>
    </w:p>
    <w:p>
      <w:pPr>
        <w:pStyle w:val="ListeParagraf"/>
        <w:spacing w:after="60"/>
        <w:ind w:left="397"/>
      </w:pPr>
      <w:r>
        <w:rPr>
          <w:rFonts w:ascii="Calibri" w:hAnsi="Calibri"/>
          <w:color w:val="1F2A37"/>
          <w:sz w:val="22"/>
        </w:rPr>
        <w:t>•  6.3 Değişikliklerin planlanması: Önemli değişiklikler önceden değerlendirilir; kaynak, sorumluluk ve doğrulama planı hazırlanır.</w:t>
      </w:r>
    </w:p>
    <w:p>
      <w:pPr>
        <w:spacing w:before="120" w:after="120"/>
      </w:pPr>
      <w:r>
        <w:rPr>
          <w:rFonts w:ascii="Calibri" w:hAnsi="Calibri"/>
          <w:b/>
          <w:color w:val="EF7B2C"/>
          <w:sz w:val="22"/>
        </w:rPr>
        <w:t>ÖNEMLİ: Risk tabanlı düşünce 2015'ten sonra eski 'önleyici faaliyet' kavramının yerini almıştır.</w:t>
      </w:r>
    </w:p>
    <w:p>
      <w:pPr>
        <w:pStyle w:val="Balk2"/>
        <w:spacing w:before="200" w:after="160"/>
      </w:pPr>
      <w:r>
        <w:rPr>
          <w:rFonts w:ascii="Calibri" w:hAnsi="Calibri"/>
        </w:rPr>
        <w:t>4.4  Madde 7 — Destek</w:t>
      </w:r>
    </w:p>
    <w:p>
      <w:pPr>
        <w:spacing w:before="0" w:after="120"/>
      </w:pPr>
      <w:r>
        <w:rPr>
          <w:rFonts w:ascii="Calibri" w:hAnsi="Calibri"/>
          <w:sz w:val="22"/>
        </w:rPr>
        <w:t>Sistemin işlemesi için gereken insan, altyapı, bilgi, iletişim ve belgelendirme kaynakları.</w:t>
      </w:r>
    </w:p>
    <w:p>
      <w:pPr>
        <w:pStyle w:val="ListeParagraf"/>
        <w:spacing w:after="60"/>
        <w:ind w:left="397"/>
      </w:pPr>
      <w:r>
        <w:rPr>
          <w:rFonts w:ascii="Calibri" w:hAnsi="Calibri"/>
          <w:color w:val="1F2A37"/>
          <w:sz w:val="22"/>
        </w:rPr>
        <w:t>•  7.1 Kaynaklar: İnsan, altyapı, çalışma ortamı, izleme/ölçüm kaynakları ve kurumsal bilgi (organizational knowledge).</w:t>
      </w:r>
    </w:p>
    <w:p>
      <w:pPr>
        <w:pStyle w:val="ListeParagraf"/>
        <w:spacing w:after="60"/>
        <w:ind w:left="397"/>
      </w:pPr>
      <w:r>
        <w:rPr>
          <w:rFonts w:ascii="Calibri" w:hAnsi="Calibri"/>
          <w:color w:val="1F2A37"/>
          <w:sz w:val="22"/>
        </w:rPr>
        <w:t>•  7.2 Yetkinlik: Her görev için yetkinlik tanımı, kanıt (sertifika, eğitim kaydı, performans değerlendirme), açık varsa kapatma planı.</w:t>
      </w:r>
    </w:p>
    <w:p>
      <w:pPr>
        <w:pStyle w:val="ListeParagraf"/>
        <w:spacing w:after="60"/>
        <w:ind w:left="397"/>
      </w:pPr>
      <w:r>
        <w:rPr>
          <w:rFonts w:ascii="Calibri" w:hAnsi="Calibri"/>
          <w:color w:val="1F2A37"/>
          <w:sz w:val="22"/>
        </w:rPr>
        <w:t>•  7.3 Farkındalık: Politika, hedefler, bireysel katkı ve uygunsuzluk sonuçları tüm çalışanlara aktarılır.</w:t>
      </w:r>
    </w:p>
    <w:p>
      <w:pPr>
        <w:pStyle w:val="ListeParagraf"/>
        <w:spacing w:after="60"/>
        <w:ind w:left="397"/>
      </w:pPr>
      <w:r>
        <w:rPr>
          <w:rFonts w:ascii="Calibri" w:hAnsi="Calibri"/>
          <w:color w:val="1F2A37"/>
          <w:sz w:val="22"/>
        </w:rPr>
        <w:t>•  7.4 İletişim: İç (departmanlar arası) ve dış (müşteri, tedarikçi, otorite); ne, ne zaman, kime, kim tarafından, hangi yolla?</w:t>
      </w:r>
    </w:p>
    <w:p>
      <w:pPr>
        <w:pStyle w:val="ListeParagraf"/>
        <w:spacing w:after="60"/>
        <w:ind w:left="397"/>
      </w:pPr>
      <w:r>
        <w:rPr>
          <w:rFonts w:ascii="Calibri" w:hAnsi="Calibri"/>
          <w:color w:val="1F2A37"/>
          <w:sz w:val="22"/>
        </w:rPr>
        <w:t>•  7.5 Belgelendirilmiş bilgi: Doküman (tutulması ve güncellenmesi) + Kayıt (kanıt amaçlı saklanan); kimlik, format, gözden geçirme, erişim, sürüm kontrol, koruma, saklama, bertaraf.</w:t>
      </w:r>
    </w:p>
    <w:p>
      <w:pPr>
        <w:spacing w:before="120" w:after="120"/>
      </w:pPr>
      <w:r>
        <w:rPr>
          <w:rFonts w:ascii="Calibri" w:hAnsi="Calibri"/>
          <w:b/>
          <w:color w:val="EF7B2C"/>
          <w:sz w:val="22"/>
        </w:rPr>
        <w:t>ÖNEMLİ: Eski 'Kalite El Kitabı' artık zorunlu değil — yerine konuya uygun belgelendirilmiş bilgi yeterlidir.</w:t>
      </w:r>
    </w:p>
    <w:p>
      <w:pPr>
        <w:pStyle w:val="Balk2"/>
        <w:spacing w:before="200" w:after="160"/>
      </w:pPr>
      <w:r>
        <w:rPr>
          <w:rFonts w:ascii="Calibri" w:hAnsi="Calibri"/>
        </w:rPr>
        <w:t>4.5  Madde 8 — Operasyon</w:t>
      </w:r>
    </w:p>
    <w:p>
      <w:pPr>
        <w:spacing w:before="0" w:after="120"/>
      </w:pPr>
      <w:r>
        <w:rPr>
          <w:rFonts w:ascii="Calibri" w:hAnsi="Calibri"/>
          <w:sz w:val="22"/>
        </w:rPr>
        <w:t>Sistemin günlük yürütülmesi: planlama, kontrol, dış tedarik ve uygunsuzluk yönetimi.</w:t>
      </w:r>
    </w:p>
    <w:p>
      <w:pPr>
        <w:pStyle w:val="ListeParagraf"/>
        <w:spacing w:after="60"/>
        <w:ind w:left="397"/>
      </w:pPr>
      <w:r>
        <w:rPr>
          <w:rFonts w:ascii="Calibri" w:hAnsi="Calibri"/>
          <w:color w:val="1F2A37"/>
          <w:sz w:val="22"/>
        </w:rPr>
        <w:t>•  8.1 Operasyonel planlama ve kontrol: Kriterler, prosesin uygulanma şekli, kayıt tutma, planlı değişikliklerin yönetimi, planlanmamış değişikliklerin sonuçlarının analizi.</w:t>
      </w:r>
    </w:p>
    <w:p>
      <w:pPr>
        <w:pStyle w:val="ListeParagraf"/>
        <w:spacing w:after="60"/>
        <w:ind w:left="397"/>
      </w:pPr>
      <w:r>
        <w:rPr>
          <w:rFonts w:ascii="Calibri" w:hAnsi="Calibri"/>
          <w:color w:val="1F2A37"/>
          <w:sz w:val="22"/>
        </w:rPr>
        <w:t>•  8.2 Ürün/hizmet şartları: Müşteri iletişimi, şartların belirlenmesi, gözden geçirme, değişiklik kontrolü.</w:t>
      </w:r>
    </w:p>
    <w:p>
      <w:pPr>
        <w:pStyle w:val="ListeParagraf"/>
        <w:spacing w:after="60"/>
        <w:ind w:left="397"/>
      </w:pPr>
      <w:r>
        <w:rPr>
          <w:rFonts w:ascii="Calibri" w:hAnsi="Calibri"/>
          <w:color w:val="1F2A37"/>
          <w:sz w:val="22"/>
        </w:rPr>
        <w:t>•  8.3 Tasarım ve geliştirme: Planlama, girdiler, kontroller, çıktılar, değişiklikler (uygulanabilirse).</w:t>
      </w:r>
    </w:p>
    <w:p>
      <w:pPr>
        <w:pStyle w:val="ListeParagraf"/>
        <w:spacing w:after="60"/>
        <w:ind w:left="397"/>
      </w:pPr>
      <w:r>
        <w:rPr>
          <w:rFonts w:ascii="Calibri" w:hAnsi="Calibri"/>
          <w:color w:val="1F2A37"/>
          <w:sz w:val="22"/>
        </w:rPr>
        <w:t>•  8.4 Dış tedarikli süreç, ürün ve hizmetler: Tedarikçi nitelendirme, performans değerlendirme, doğrulama; sorumluluk dış tedarikçide olsa da kuruluş sorumluluğunu devredemez.</w:t>
      </w:r>
    </w:p>
    <w:p>
      <w:pPr>
        <w:pStyle w:val="ListeParagraf"/>
        <w:spacing w:after="60"/>
        <w:ind w:left="397"/>
      </w:pPr>
      <w:r>
        <w:rPr>
          <w:rFonts w:ascii="Calibri" w:hAnsi="Calibri"/>
          <w:color w:val="1F2A37"/>
          <w:sz w:val="22"/>
        </w:rPr>
        <w:t>•  8.5 Üretim ve hizmet sunumu: Kontrollü şartlar: belgelendirilmiş bilgi, uygun altyapı, doğrulama, izlenebilirlik, müşteri/ilgili taraf mülkiyetinin korunması.</w:t>
      </w:r>
    </w:p>
    <w:p>
      <w:pPr>
        <w:pStyle w:val="ListeParagraf"/>
        <w:spacing w:after="60"/>
        <w:ind w:left="397"/>
      </w:pPr>
      <w:r>
        <w:rPr>
          <w:rFonts w:ascii="Calibri" w:hAnsi="Calibri"/>
          <w:color w:val="1F2A37"/>
          <w:sz w:val="22"/>
        </w:rPr>
        <w:t>•  8.6 Ürün/hizmetin serbest bırakılması: Şartların doğrulanmadan teslim edilmemesi.</w:t>
      </w:r>
    </w:p>
    <w:p>
      <w:pPr>
        <w:pStyle w:val="ListeParagraf"/>
        <w:spacing w:after="60"/>
        <w:ind w:left="397"/>
      </w:pPr>
      <w:r>
        <w:rPr>
          <w:rFonts w:ascii="Calibri" w:hAnsi="Calibri"/>
          <w:color w:val="1F2A37"/>
          <w:sz w:val="22"/>
        </w:rPr>
        <w:t>•  8.7 Uygun olmayan çıktıların kontrolü: Tanımlama, ayrım, izolasyon; düzeltme, iade, askıya alma, müşteri bilgilendirme.</w:t>
      </w:r>
    </w:p>
    <w:p>
      <w:pPr>
        <w:spacing w:before="120" w:after="120"/>
      </w:pPr>
      <w:r>
        <w:rPr>
          <w:rFonts w:ascii="Calibri" w:hAnsi="Calibri"/>
          <w:b/>
          <w:color w:val="EF7B2C"/>
          <w:sz w:val="22"/>
        </w:rPr>
        <w:t>ÖNEMLİ: Madde 8 operasyonun kalbidir; sistemin sahada gerçekten işleyip işlemediği burada görülür.</w:t>
      </w:r>
    </w:p>
    <w:p>
      <w:pPr>
        <w:pStyle w:val="Balk2"/>
        <w:spacing w:before="200" w:after="160"/>
      </w:pPr>
      <w:r>
        <w:rPr>
          <w:rFonts w:ascii="Calibri" w:hAnsi="Calibri"/>
        </w:rPr>
        <w:t>4.6  Madde 9 — Performans Değerlendirme</w:t>
      </w:r>
    </w:p>
    <w:p>
      <w:pPr>
        <w:spacing w:before="0" w:after="120"/>
      </w:pPr>
      <w:r>
        <w:rPr>
          <w:rFonts w:ascii="Calibri" w:hAnsi="Calibri"/>
          <w:sz w:val="22"/>
        </w:rPr>
        <w:t>Sistemin etkinliğinin verilerle ölçülmesi: izleme, ölçüm, analiz, iç tetkik ve yönetimin gözden geçirmesi.</w:t>
      </w:r>
    </w:p>
    <w:p>
      <w:pPr>
        <w:pStyle w:val="ListeParagraf"/>
        <w:spacing w:after="60"/>
        <w:ind w:left="397"/>
      </w:pPr>
      <w:r>
        <w:rPr>
          <w:rFonts w:ascii="Calibri" w:hAnsi="Calibri"/>
          <w:color w:val="1F2A37"/>
          <w:sz w:val="22"/>
        </w:rPr>
        <w:t>•  9.1 İzleme, ölçüm, analiz ve değerlendirme: Ne, ne zaman, kim, hangi yöntemle ölçülecek; sonuçların güvenilirliği sağlanmalı; analiz raporları üst yönetime sunulmalı.</w:t>
      </w:r>
    </w:p>
    <w:p>
      <w:pPr>
        <w:pStyle w:val="ListeParagraf"/>
        <w:spacing w:after="60"/>
        <w:ind w:left="397"/>
      </w:pPr>
      <w:r>
        <w:rPr>
          <w:rFonts w:ascii="Calibri" w:hAnsi="Calibri"/>
          <w:color w:val="1F2A37"/>
          <w:sz w:val="22"/>
        </w:rPr>
        <w:t>•  9.2 İç tetkik: Planlı (program), bağımsız (kendi işini denetlememe), kanıt-temelli; bulgular DÖF'le sonuçlanır.</w:t>
      </w:r>
    </w:p>
    <w:p>
      <w:pPr>
        <w:pStyle w:val="ListeParagraf"/>
        <w:spacing w:after="60"/>
        <w:ind w:left="397"/>
      </w:pPr>
      <w:r>
        <w:rPr>
          <w:rFonts w:ascii="Calibri" w:hAnsi="Calibri"/>
          <w:color w:val="1F2A37"/>
          <w:sz w:val="22"/>
        </w:rPr>
        <w:t>•  9.3 Yönetimin gözden geçirmesi (YGG): Planlı aralıklarla; girdiler: tetkik sonuçları, müşteri şikayetleri, hedef performansı, dış değişiklikler, kaynak ihtiyacı; çıktılar: iyileştirme kararları.</w:t>
      </w:r>
    </w:p>
    <w:p>
      <w:pPr>
        <w:spacing w:before="120" w:after="120"/>
      </w:pPr>
      <w:r>
        <w:rPr>
          <w:rFonts w:ascii="Calibri" w:hAnsi="Calibri"/>
          <w:b/>
          <w:color w:val="EF7B2C"/>
          <w:sz w:val="22"/>
        </w:rPr>
        <w:t>ÖNEMLİ: YGG bir 'toplantı' değil; bir yönetim disiplinidir — kararlar, kaynaklar ve hesap verebilirlik üretir.</w:t>
      </w:r>
    </w:p>
    <w:p>
      <w:pPr>
        <w:pStyle w:val="Balk2"/>
        <w:spacing w:before="200" w:after="160"/>
      </w:pPr>
      <w:r>
        <w:rPr>
          <w:rFonts w:ascii="Calibri" w:hAnsi="Calibri"/>
        </w:rPr>
        <w:t>4.7  Madde 10 — İyileştirme</w:t>
      </w:r>
    </w:p>
    <w:p>
      <w:pPr>
        <w:spacing w:before="0" w:after="120"/>
      </w:pPr>
      <w:r>
        <w:rPr>
          <w:rFonts w:ascii="Calibri" w:hAnsi="Calibri"/>
          <w:sz w:val="22"/>
        </w:rPr>
        <w:t>Sistemin sürekli geliştirilmesi: uygunsuzluk, düzeltici faaliyet ve sürekli iyileştirme döngüsü.</w:t>
      </w:r>
    </w:p>
    <w:p>
      <w:pPr>
        <w:pStyle w:val="ListeParagraf"/>
        <w:spacing w:after="60"/>
        <w:ind w:left="397"/>
      </w:pPr>
      <w:r>
        <w:rPr>
          <w:rFonts w:ascii="Calibri" w:hAnsi="Calibri"/>
          <w:color w:val="1F2A37"/>
          <w:sz w:val="22"/>
        </w:rPr>
        <w:t>•  10.1 Genel: Uygun olmayanın düzeltilmesi, müşteri memnuniyetinin artırılması, sistemin uygunluğunun ve etkinliğinin geliştirilmesi.</w:t>
      </w:r>
    </w:p>
    <w:p>
      <w:pPr>
        <w:pStyle w:val="ListeParagraf"/>
        <w:spacing w:after="60"/>
        <w:ind w:left="397"/>
      </w:pPr>
      <w:r>
        <w:rPr>
          <w:rFonts w:ascii="Calibri" w:hAnsi="Calibri"/>
          <w:color w:val="1F2A37"/>
          <w:sz w:val="22"/>
        </w:rPr>
        <w:t>•  10.2 Uygunsuzluk ve düzeltici faaliyet: Anında tepki + kök neden + benzer durumların değerlendirilmesi + DF + etkinlik doğrulaması; tekrarlanmaması en önemli kriter.</w:t>
      </w:r>
    </w:p>
    <w:p>
      <w:pPr>
        <w:pStyle w:val="ListeParagraf"/>
        <w:spacing w:after="60"/>
        <w:ind w:left="397"/>
      </w:pPr>
      <w:r>
        <w:rPr>
          <w:rFonts w:ascii="Calibri" w:hAnsi="Calibri"/>
          <w:color w:val="1F2A37"/>
          <w:sz w:val="22"/>
        </w:rPr>
        <w:t>•  10.3 Sürekli iyileştirme: Analiz sonuçları, YGG çıktıları ve performans göstergeleri sürekli iyileştirme fırsatlarını besler.</w:t>
      </w:r>
    </w:p>
    <w:p>
      <w:pPr>
        <w:spacing w:before="120" w:after="120"/>
      </w:pPr>
      <w:r>
        <w:rPr>
          <w:rFonts w:ascii="Calibri" w:hAnsi="Calibri"/>
          <w:b/>
          <w:color w:val="EF7B2C"/>
          <w:sz w:val="22"/>
        </w:rPr>
        <w:t>ÖNEMLİ: İyileştirme bir 'proje' değil, bir kültürdür; herkesin her gün katkı sunduğu disiplin.</w:t>
      </w:r>
    </w:p>
    <w:p>
      <w:r>
        <w:br w:type="page"/>
      </w:r>
    </w:p>
    <w:p>
      <w:pPr>
        <w:pStyle w:val="Balk1"/>
        <w:spacing w:before="280" w:after="160"/>
      </w:pPr>
      <w:r>
        <w:rPr>
          <w:rFonts w:ascii="Calibri" w:hAnsi="Calibri"/>
        </w:rPr>
        <w:t>5. Belgelendirme, Tetkik ve Sürekli İyileştirme</w:t>
      </w:r>
    </w:p>
    <w:p>
      <w:pPr>
        <w:spacing w:before="0" w:after="120"/>
      </w:pPr>
      <w:r>
        <w:rPr>
          <w:rFonts w:ascii="Calibri" w:hAnsi="Calibri"/>
          <w:sz w:val="22"/>
        </w:rPr>
        <w:t>Belgelendirme; sistemin uygunluğunun, akredite bir belgelendirme kuruluşu tarafından bağımsız değerlendirildiği süreçtir. ISO 17021-1 temelinde yürütülür ve sertifika 3 yıl geçerlidir.</w:t>
      </w:r>
    </w:p>
    <w:p>
      <w:pPr>
        <w:pStyle w:val="Balk2"/>
        <w:spacing w:before="200" w:after="160"/>
      </w:pPr>
      <w:r>
        <w:rPr>
          <w:rFonts w:ascii="Calibri" w:hAnsi="Calibri"/>
        </w:rPr>
        <w:t>5.1  Belgelendirme Süreci</w:t>
      </w:r>
    </w:p>
    <w:p>
      <w:pPr>
        <w:spacing w:before="0" w:after="120"/>
      </w:pPr>
      <w:r>
        <w:rPr>
          <w:rFonts w:ascii="Calibri" w:hAnsi="Calibri"/>
          <w:sz w:val="22"/>
        </w:rPr>
        <w:t>Belgelendirme; sistemin uygunluğunun, akredite bir belgelendirme kuruluşu tarafından bağımsız değerlendirildiği süreçtir. ISO 17021-1 (Yönetim Sistemleri Belgelendirme Kuruluşlarına yönelik akreditasyon standardı) temelinde yürütülür.</w:t>
      </w:r>
    </w:p>
    <w:p>
      <w:pPr>
        <w:pStyle w:val="ListeParagraf"/>
        <w:spacing w:after="60"/>
        <w:ind w:left="397"/>
      </w:pPr>
      <w:r>
        <w:rPr>
          <w:rFonts w:ascii="Calibri" w:hAnsi="Calibri"/>
          <w:color w:val="1F2A37"/>
          <w:sz w:val="22"/>
        </w:rPr>
        <w:t>•  Başvuru ve Sözleşme: Kuruluş kapsamı, çalışan sayısı, süreçler ve lokasyonlar belirlenir. Ücret ve süre hesaplanır.</w:t>
      </w:r>
    </w:p>
    <w:p>
      <w:pPr>
        <w:pStyle w:val="ListeParagraf"/>
        <w:spacing w:after="60"/>
        <w:ind w:left="397"/>
      </w:pPr>
      <w:r>
        <w:rPr>
          <w:rFonts w:ascii="Calibri" w:hAnsi="Calibri"/>
          <w:color w:val="1F2A37"/>
          <w:sz w:val="22"/>
        </w:rPr>
        <w:t>•  Aşama 1 — Doküman ve Hazırlık Tetkiki: Yönetim sistemi dokümantasyonu, bağlam, kapsam, politika, hedefler, iç tetkik ve YGG kayıtları incelenir. Saha tetkikine hazır olunduğu teyit edilir.</w:t>
      </w:r>
    </w:p>
    <w:p>
      <w:pPr>
        <w:pStyle w:val="ListeParagraf"/>
        <w:spacing w:after="60"/>
        <w:ind w:left="397"/>
      </w:pPr>
      <w:r>
        <w:rPr>
          <w:rFonts w:ascii="Calibri" w:hAnsi="Calibri"/>
          <w:color w:val="1F2A37"/>
          <w:sz w:val="22"/>
        </w:rPr>
        <w:t>•  Aşama 2 — Saha Tetkiki: Sistemin sahada etkin uygulandığı; görüşme, gözlem, kayıt incelemesi ile değerlendirilir. Bulgular: Majör/Minör Uygunsuzluk, Gözlem, İyileştirme Fırsatı.</w:t>
      </w:r>
    </w:p>
    <w:p>
      <w:pPr>
        <w:pStyle w:val="ListeParagraf"/>
        <w:spacing w:after="60"/>
        <w:ind w:left="397"/>
      </w:pPr>
      <w:r>
        <w:rPr>
          <w:rFonts w:ascii="Calibri" w:hAnsi="Calibri"/>
          <w:color w:val="1F2A37"/>
          <w:sz w:val="22"/>
        </w:rPr>
        <w:t>•  Düzeltici Faaliyet Takibi: Majör için uygunsuzluk kapatılmadan belge verilmez; minörler için aksiyon planı ve takvim onaylanır.</w:t>
      </w:r>
    </w:p>
    <w:p>
      <w:pPr>
        <w:pStyle w:val="ListeParagraf"/>
        <w:spacing w:after="60"/>
        <w:ind w:left="397"/>
      </w:pPr>
      <w:r>
        <w:rPr>
          <w:rFonts w:ascii="Calibri" w:hAnsi="Calibri"/>
          <w:color w:val="1F2A37"/>
          <w:sz w:val="22"/>
        </w:rPr>
        <w:t>•  Belge Kararı: Bağımsız komite kararıyla belge düzenlenir; 3 yıl geçerli.</w:t>
      </w:r>
    </w:p>
    <w:p>
      <w:pPr>
        <w:pStyle w:val="ListeParagraf"/>
        <w:spacing w:after="60"/>
        <w:ind w:left="397"/>
      </w:pPr>
      <w:r>
        <w:rPr>
          <w:rFonts w:ascii="Calibri" w:hAnsi="Calibri"/>
          <w:color w:val="1F2A37"/>
          <w:sz w:val="22"/>
        </w:rPr>
        <w:t>•  Gözetim Tetkikleri: 1. ve 2. yılda gözetim tetkikleri; sistemin sürekli işletildiğinin doğrulanması.</w:t>
      </w:r>
    </w:p>
    <w:p>
      <w:pPr>
        <w:pStyle w:val="ListeParagraf"/>
        <w:spacing w:after="60"/>
        <w:ind w:left="397"/>
      </w:pPr>
      <w:r>
        <w:rPr>
          <w:rFonts w:ascii="Calibri" w:hAnsi="Calibri"/>
          <w:color w:val="1F2A37"/>
          <w:sz w:val="22"/>
        </w:rPr>
        <w:t>•  Yeniden Belgelendirme: 3. yılın sonunda kapsamlı bir tetkikle belge yenilenir.</w:t>
      </w:r>
    </w:p>
    <w:p>
      <w:pPr>
        <w:pStyle w:val="Balk2"/>
        <w:spacing w:before="200" w:after="160"/>
      </w:pPr>
      <w:r>
        <w:rPr>
          <w:rFonts w:ascii="Calibri" w:hAnsi="Calibri"/>
        </w:rPr>
        <w:t>5.2  Tetkik Bulgu Türleri</w:t>
      </w:r>
    </w:p>
    <w:p>
      <w:pPr>
        <w:spacing w:before="0" w:after="120"/>
      </w:pPr>
      <w:r>
        <w:rPr>
          <w:rFonts w:ascii="Calibri" w:hAnsi="Calibri"/>
          <w:sz w:val="22"/>
        </w:rPr>
        <w:t>Tetkik sonunda dört temel bulgu türü kullanılır:</w:t>
      </w:r>
    </w:p>
    <w:p>
      <w:pPr>
        <w:pStyle w:val="ListeParagraf"/>
        <w:spacing w:after="60"/>
        <w:ind w:left="397"/>
      </w:pPr>
      <w:r>
        <w:rPr>
          <w:rFonts w:ascii="Calibri" w:hAnsi="Calibri"/>
          <w:color w:val="1F2A37"/>
          <w:sz w:val="22"/>
        </w:rPr>
        <w:t>•  Majör Uygunsuzluk: Sistemin temel gereksinimlerinden birinin karşılanmaması veya etkinliğini sorgulatacak boyutta sapma. Belge verilemez/askıya alınabilir.</w:t>
      </w:r>
    </w:p>
    <w:p>
      <w:pPr>
        <w:pStyle w:val="ListeParagraf"/>
        <w:spacing w:after="60"/>
        <w:ind w:left="397"/>
      </w:pPr>
      <w:r>
        <w:rPr>
          <w:rFonts w:ascii="Calibri" w:hAnsi="Calibri"/>
          <w:color w:val="1F2A37"/>
          <w:sz w:val="22"/>
        </w:rPr>
        <w:t>•  Minör Uygunsuzluk: Belirli bir gereklilikten izole, sistemi tehdit etmeyen tek bir sapma. Aksiyon planı yeterlidir.</w:t>
      </w:r>
    </w:p>
    <w:p>
      <w:pPr>
        <w:pStyle w:val="ListeParagraf"/>
        <w:spacing w:after="60"/>
        <w:ind w:left="397"/>
      </w:pPr>
      <w:r>
        <w:rPr>
          <w:rFonts w:ascii="Calibri" w:hAnsi="Calibri"/>
          <w:color w:val="1F2A37"/>
          <w:sz w:val="22"/>
        </w:rPr>
        <w:t>•  Gözlem: Henüz uygunsuzluk değil; eğilim veya zayıflık. Önlem alınmazsa sonradan uygunsuzluk olabilir.</w:t>
      </w:r>
    </w:p>
    <w:p>
      <w:pPr>
        <w:pStyle w:val="ListeParagraf"/>
        <w:spacing w:after="60"/>
        <w:ind w:left="397"/>
      </w:pPr>
      <w:r>
        <w:rPr>
          <w:rFonts w:ascii="Calibri" w:hAnsi="Calibri"/>
          <w:color w:val="1F2A37"/>
          <w:sz w:val="22"/>
        </w:rPr>
        <w:t>•  İyileştirme Fırsatı: Standart şartını karşılıyor ancak daha iyi yapılabilir önerisi.</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Bulgu Türü</w:t>
            </w:r>
          </w:p>
        </w:tc>
        <w:tc>
          <w:tcPr>
            <w:tcW w:type="dxa" w:w="4513"/>
            <w:shd w:fill="273968"/>
          </w:tcPr>
          <w:p>
            <w:r/>
            <w:r>
              <w:rPr>
                <w:rFonts w:ascii="Calibri" w:hAnsi="Calibri"/>
                <w:b/>
                <w:color w:val="FFFFFF"/>
                <w:sz w:val="20"/>
              </w:rPr>
              <w:t>Aksiyon</w:t>
            </w:r>
          </w:p>
        </w:tc>
      </w:tr>
      <w:tr>
        <w:tc>
          <w:tcPr>
            <w:tcW w:type="dxa" w:w="4513"/>
            <w:shd w:fill="F4F6F9"/>
          </w:tcPr>
          <w:p>
            <w:r/>
            <w:r>
              <w:rPr>
                <w:rFonts w:ascii="Calibri" w:hAnsi="Calibri"/>
                <w:color w:val="1F2A37"/>
                <w:sz w:val="20"/>
              </w:rPr>
              <w:t>Majör Uygunsuzluk</w:t>
            </w:r>
          </w:p>
        </w:tc>
        <w:tc>
          <w:tcPr>
            <w:tcW w:type="dxa" w:w="4513"/>
            <w:shd w:fill="F4F6F9"/>
          </w:tcPr>
          <w:p>
            <w:r/>
            <w:r>
              <w:rPr>
                <w:rFonts w:ascii="Calibri" w:hAnsi="Calibri"/>
                <w:color w:val="1F2A37"/>
                <w:sz w:val="20"/>
              </w:rPr>
              <w:t>Aksiyon planı + kanıt + etkinlik doğrulama; belge verilemez</w:t>
            </w:r>
          </w:p>
        </w:tc>
      </w:tr>
      <w:tr>
        <w:tc>
          <w:tcPr>
            <w:tcW w:type="dxa" w:w="4513"/>
          </w:tcPr>
          <w:p>
            <w:r/>
            <w:r>
              <w:rPr>
                <w:rFonts w:ascii="Calibri" w:hAnsi="Calibri"/>
                <w:color w:val="1F2A37"/>
                <w:sz w:val="20"/>
              </w:rPr>
              <w:t>Minör Uygunsuzluk</w:t>
            </w:r>
          </w:p>
        </w:tc>
        <w:tc>
          <w:tcPr>
            <w:tcW w:type="dxa" w:w="4513"/>
          </w:tcPr>
          <w:p>
            <w:r/>
            <w:r>
              <w:rPr>
                <w:rFonts w:ascii="Calibri" w:hAnsi="Calibri"/>
                <w:color w:val="1F2A37"/>
                <w:sz w:val="20"/>
              </w:rPr>
              <w:t>Aksiyon planı + takvim; belge verilebilir</w:t>
            </w:r>
          </w:p>
        </w:tc>
      </w:tr>
      <w:tr>
        <w:tc>
          <w:tcPr>
            <w:tcW w:type="dxa" w:w="4513"/>
            <w:shd w:fill="F4F6F9"/>
          </w:tcPr>
          <w:p>
            <w:r/>
            <w:r>
              <w:rPr>
                <w:rFonts w:ascii="Calibri" w:hAnsi="Calibri"/>
                <w:color w:val="1F2A37"/>
                <w:sz w:val="20"/>
              </w:rPr>
              <w:t>Gözlem</w:t>
            </w:r>
          </w:p>
        </w:tc>
        <w:tc>
          <w:tcPr>
            <w:tcW w:type="dxa" w:w="4513"/>
            <w:shd w:fill="F4F6F9"/>
          </w:tcPr>
          <w:p>
            <w:r/>
            <w:r>
              <w:rPr>
                <w:rFonts w:ascii="Calibri" w:hAnsi="Calibri"/>
                <w:color w:val="1F2A37"/>
                <w:sz w:val="20"/>
              </w:rPr>
              <w:t>Önleyici önlem; risk olmadan önce ele al</w:t>
            </w:r>
          </w:p>
        </w:tc>
      </w:tr>
      <w:tr>
        <w:tc>
          <w:tcPr>
            <w:tcW w:type="dxa" w:w="4513"/>
          </w:tcPr>
          <w:p>
            <w:r/>
            <w:r>
              <w:rPr>
                <w:rFonts w:ascii="Calibri" w:hAnsi="Calibri"/>
                <w:color w:val="1F2A37"/>
                <w:sz w:val="20"/>
              </w:rPr>
              <w:t>İyileştirme Fırsatı</w:t>
            </w:r>
          </w:p>
        </w:tc>
        <w:tc>
          <w:tcPr>
            <w:tcW w:type="dxa" w:w="4513"/>
          </w:tcPr>
          <w:p>
            <w:r/>
            <w:r>
              <w:rPr>
                <w:rFonts w:ascii="Calibri" w:hAnsi="Calibri"/>
                <w:color w:val="1F2A37"/>
                <w:sz w:val="20"/>
              </w:rPr>
              <w:t>Değerlendirme ve gönüllü uygulama</w:t>
            </w:r>
          </w:p>
        </w:tc>
      </w:tr>
    </w:tbl>
    <w:p>
      <w:pPr>
        <w:pStyle w:val="Balk2"/>
        <w:spacing w:before="200" w:after="160"/>
      </w:pPr>
      <w:r>
        <w:rPr>
          <w:rFonts w:ascii="Calibri" w:hAnsi="Calibri"/>
        </w:rPr>
        <w:t>5.3  İç Tetkik Süreci</w:t>
      </w:r>
    </w:p>
    <w:p>
      <w:pPr>
        <w:spacing w:before="0" w:after="120"/>
      </w:pPr>
      <w:r>
        <w:rPr>
          <w:rFonts w:ascii="Calibri" w:hAnsi="Calibri"/>
          <w:sz w:val="22"/>
        </w:rPr>
        <w:t>İç tetkik; sistemin kendi gereklilikleri ile gerçek uygulamasının karşılaştırıldığı, planlı ve bağımsız bir değerlendirmedir. Bir 'sınav' değil, bir 'sağlık kontrolüdür'.</w:t>
      </w:r>
    </w:p>
    <w:p>
      <w:pPr>
        <w:pStyle w:val="ListeParagraf"/>
        <w:spacing w:after="60"/>
        <w:ind w:left="397"/>
      </w:pPr>
      <w:r>
        <w:rPr>
          <w:rFonts w:ascii="Calibri" w:hAnsi="Calibri"/>
          <w:color w:val="1F2A37"/>
          <w:sz w:val="22"/>
        </w:rPr>
        <w:t>•  Plan: Yıllık tetkik programı; tüm süreçleri ve lokasyonları yılda en az bir kez kapsamalı.</w:t>
      </w:r>
    </w:p>
    <w:p>
      <w:pPr>
        <w:pStyle w:val="ListeParagraf"/>
        <w:spacing w:after="60"/>
        <w:ind w:left="397"/>
      </w:pPr>
      <w:r>
        <w:rPr>
          <w:rFonts w:ascii="Calibri" w:hAnsi="Calibri"/>
          <w:color w:val="1F2A37"/>
          <w:sz w:val="22"/>
        </w:rPr>
        <w:t>•  Hazırlık: Tetkik planı, ekip atama, soru listeleri, kapsam ve kriterler, takvim, bildirim.</w:t>
      </w:r>
    </w:p>
    <w:p>
      <w:pPr>
        <w:pStyle w:val="ListeParagraf"/>
        <w:spacing w:after="60"/>
        <w:ind w:left="397"/>
      </w:pPr>
      <w:r>
        <w:rPr>
          <w:rFonts w:ascii="Calibri" w:hAnsi="Calibri"/>
          <w:color w:val="1F2A37"/>
          <w:sz w:val="22"/>
        </w:rPr>
        <w:t>•  Açılış Toplantısı: Tetkik amacı, kapsamı, gizlilik, raporlama yöntemi; tetkik edilen ve tetkik ekibi katılır.</w:t>
      </w:r>
    </w:p>
    <w:p>
      <w:pPr>
        <w:pStyle w:val="ListeParagraf"/>
        <w:spacing w:after="60"/>
        <w:ind w:left="397"/>
      </w:pPr>
      <w:r>
        <w:rPr>
          <w:rFonts w:ascii="Calibri" w:hAnsi="Calibri"/>
          <w:color w:val="1F2A37"/>
          <w:sz w:val="22"/>
        </w:rPr>
        <w:t>•  Saha Tetkiki: Görüşme, gözlem, kayıt incelemesi, örnekleme; bulgular ve kanıtlar nesnel olarak toplanır.</w:t>
      </w:r>
    </w:p>
    <w:p>
      <w:pPr>
        <w:pStyle w:val="ListeParagraf"/>
        <w:spacing w:after="60"/>
        <w:ind w:left="397"/>
      </w:pPr>
      <w:r>
        <w:rPr>
          <w:rFonts w:ascii="Calibri" w:hAnsi="Calibri"/>
          <w:color w:val="1F2A37"/>
          <w:sz w:val="22"/>
        </w:rPr>
        <w:t>•  Bulgu Sınıflandırma: Her bulgu kanıtıyla birlikte; majör/minör/gözlem/fırsat olarak sınıflandırılır.</w:t>
      </w:r>
    </w:p>
    <w:p>
      <w:pPr>
        <w:pStyle w:val="ListeParagraf"/>
        <w:spacing w:after="60"/>
        <w:ind w:left="397"/>
      </w:pPr>
      <w:r>
        <w:rPr>
          <w:rFonts w:ascii="Calibri" w:hAnsi="Calibri"/>
          <w:color w:val="1F2A37"/>
          <w:sz w:val="22"/>
        </w:rPr>
        <w:t>•  Kapanış Toplantısı: Bulgular özetlenir, sonuçlar paylaşılır, ön DÖF kararları alınır.</w:t>
      </w:r>
    </w:p>
    <w:p>
      <w:pPr>
        <w:pStyle w:val="ListeParagraf"/>
        <w:spacing w:after="60"/>
        <w:ind w:left="397"/>
      </w:pPr>
      <w:r>
        <w:rPr>
          <w:rFonts w:ascii="Calibri" w:hAnsi="Calibri"/>
          <w:color w:val="1F2A37"/>
          <w:sz w:val="22"/>
        </w:rPr>
        <w:t>•  Tetkik Raporu: Yazılı; kapsam, ekip, bulgular, sonuçlar; ilgili yöneticilere ve YGG'ye girdi.</w:t>
      </w:r>
    </w:p>
    <w:p>
      <w:pPr>
        <w:pStyle w:val="ListeParagraf"/>
        <w:spacing w:after="60"/>
        <w:ind w:left="397"/>
      </w:pPr>
      <w:r>
        <w:rPr>
          <w:rFonts w:ascii="Calibri" w:hAnsi="Calibri"/>
          <w:color w:val="1F2A37"/>
          <w:sz w:val="22"/>
        </w:rPr>
        <w:t>•  Takip ve Doğrulama: DÖF'lerin tamamlanması, etkinliğinin doğrulanması (re-audit veya kayıt incelemesi).</w:t>
      </w:r>
    </w:p>
    <w:p>
      <w:pPr>
        <w:pStyle w:val="Balk2"/>
        <w:spacing w:before="200" w:after="160"/>
      </w:pPr>
      <w:r>
        <w:rPr>
          <w:rFonts w:ascii="Calibri" w:hAnsi="Calibri"/>
        </w:rPr>
        <w:t>5.4  Yönetimin Gözden Geçirmesi (YGG)</w:t>
      </w:r>
    </w:p>
    <w:p>
      <w:pPr>
        <w:spacing w:before="0" w:after="120"/>
      </w:pPr>
      <w:r>
        <w:rPr>
          <w:rFonts w:ascii="Calibri" w:hAnsi="Calibri"/>
          <w:sz w:val="22"/>
        </w:rPr>
        <w:t>Üst yönetim, sistemin performansını planlı aralıklarla (genellikle yılda bir veya altı ayda bir) gözden geçirir. YGG'nin amacı; sistemin uygunluğunu, yeterliliğini ve etkinliğini değerlendirmek, iyileştirme fırsatlarını belirlemektir.</w:t>
      </w:r>
    </w:p>
    <w:p>
      <w:pPr>
        <w:pStyle w:val="ListeParagraf"/>
        <w:spacing w:after="60"/>
        <w:ind w:left="397"/>
      </w:pPr>
      <w:r>
        <w:rPr>
          <w:rFonts w:ascii="Calibri" w:hAnsi="Calibri"/>
          <w:color w:val="1F2A37"/>
          <w:sz w:val="22"/>
        </w:rPr>
        <w:t>•  Girdiler: önceki YGG'lerin aksiyon durumu, dış/iç meselelerdeki değişiklikler, müşteri memnuniyet sonuçları, hedef performansı, iç tetkik bulguları, DÖF'ler, izleme ve ölçüm sonuçları, kaynak yeterliliği, iyileştirme fırsatları.</w:t>
      </w:r>
    </w:p>
    <w:p>
      <w:pPr>
        <w:pStyle w:val="ListeParagraf"/>
        <w:spacing w:after="60"/>
        <w:ind w:left="397"/>
      </w:pPr>
      <w:r>
        <w:rPr>
          <w:rFonts w:ascii="Calibri" w:hAnsi="Calibri"/>
          <w:color w:val="1F2A37"/>
          <w:sz w:val="22"/>
        </w:rPr>
        <w:t>•  Çıktılar: iyileştirme fırsatları, sistem değişiklikleri, kaynak ihtiyaçları.</w:t>
      </w:r>
    </w:p>
    <w:p>
      <w:r>
        <w:br w:type="page"/>
      </w:r>
    </w:p>
    <w:p>
      <w:pPr>
        <w:pStyle w:val="Balk1"/>
        <w:spacing w:before="280" w:after="160"/>
      </w:pPr>
      <w:r>
        <w:rPr>
          <w:rFonts w:ascii="Calibri" w:hAnsi="Calibri"/>
        </w:rPr>
        <w:t>6. Çalışan Olarak Sistemdeki Rolümüz</w:t>
      </w:r>
    </w:p>
    <w:p>
      <w:pPr>
        <w:spacing w:before="0" w:after="120"/>
      </w:pPr>
      <w:r>
        <w:rPr>
          <w:rFonts w:ascii="Calibri" w:hAnsi="Calibri"/>
          <w:sz w:val="22"/>
        </w:rPr>
        <w:t>Yönetim sistemi yalnızca bir doküman kümesi değildir; günlük iş yapma biçimimizdir. Sistemin etkin işleyişi her bir çalışanın katkısıyla mümkündür.</w:t>
      </w:r>
    </w:p>
    <w:p>
      <w:pPr>
        <w:pStyle w:val="Balk2"/>
        <w:spacing w:before="200" w:after="160"/>
      </w:pPr>
      <w:r>
        <w:rPr>
          <w:rFonts w:ascii="Calibri" w:hAnsi="Calibri"/>
        </w:rPr>
        <w:t>6.1  Politika ve hedefleri bilmek</w:t>
      </w:r>
    </w:p>
    <w:p>
      <w:pPr>
        <w:spacing w:before="0" w:after="120"/>
      </w:pPr>
      <w:r>
        <w:rPr>
          <w:rFonts w:ascii="Calibri" w:hAnsi="Calibri"/>
          <w:sz w:val="22"/>
        </w:rPr>
        <w:t>Kuruluşun yönetim sistemi politikasını, hedeflerini ve bunların kendi işime nasıl yansıdığını anlamak. Politika sadece duvardaki çerçeve değil, günlük kararların pusulasıdır.</w:t>
      </w:r>
    </w:p>
    <w:p>
      <w:pPr>
        <w:pStyle w:val="Balk2"/>
        <w:spacing w:before="200" w:after="160"/>
      </w:pPr>
      <w:r>
        <w:rPr>
          <w:rFonts w:ascii="Calibri" w:hAnsi="Calibri"/>
        </w:rPr>
        <w:t>6.2  Süreçlerimi tanımak</w:t>
      </w:r>
    </w:p>
    <w:p>
      <w:pPr>
        <w:spacing w:before="0" w:after="120"/>
      </w:pPr>
      <w:r>
        <w:rPr>
          <w:rFonts w:ascii="Calibri" w:hAnsi="Calibri"/>
          <w:sz w:val="22"/>
        </w:rPr>
        <w:t>Girdi-faaliyet-çıktı zincirini, müşterimi (iç ve dış), tedarikçilerimi, ölçüm kriterlerimi net görebilmek. Sürecin bir parçası olarak değer katmak.</w:t>
      </w:r>
    </w:p>
    <w:p>
      <w:pPr>
        <w:pStyle w:val="Balk2"/>
        <w:spacing w:before="200" w:after="160"/>
      </w:pPr>
      <w:r>
        <w:rPr>
          <w:rFonts w:ascii="Calibri" w:hAnsi="Calibri"/>
        </w:rPr>
        <w:t>6.3  Belgelendirilmiş bilgiyi doğru kullanmak ve üretmek</w:t>
      </w:r>
    </w:p>
    <w:p>
      <w:pPr>
        <w:spacing w:before="0" w:after="120"/>
      </w:pPr>
      <w:r>
        <w:rPr>
          <w:rFonts w:ascii="Calibri" w:hAnsi="Calibri"/>
          <w:sz w:val="22"/>
        </w:rPr>
        <w:t>Güncel prosedürlere uymak; kayıtları doğru, eş zamanlı ve okunaklı tutmak. Hatırlanması güç bilgiyi belgeyle güvenceye almak.</w:t>
      </w:r>
    </w:p>
    <w:p>
      <w:pPr>
        <w:pStyle w:val="Balk2"/>
        <w:spacing w:before="200" w:after="160"/>
      </w:pPr>
      <w:r>
        <w:rPr>
          <w:rFonts w:ascii="Calibri" w:hAnsi="Calibri"/>
        </w:rPr>
        <w:t>6.4  Uygunsuzlukları gizlemek değil raporlamak</w:t>
      </w:r>
    </w:p>
    <w:p>
      <w:pPr>
        <w:spacing w:before="0" w:after="120"/>
      </w:pPr>
      <w:r>
        <w:rPr>
          <w:rFonts w:ascii="Calibri" w:hAnsi="Calibri"/>
          <w:sz w:val="22"/>
        </w:rPr>
        <w:t>Bir uygunsuzluk = bir iyileştirme fırsatı. Sistemde uygunsuzluk olması doğaldır; gizlenmesi tehlikelidir.</w:t>
      </w:r>
    </w:p>
    <w:p>
      <w:pPr>
        <w:pStyle w:val="Balk2"/>
        <w:spacing w:before="200" w:after="160"/>
      </w:pPr>
      <w:r>
        <w:rPr>
          <w:rFonts w:ascii="Calibri" w:hAnsi="Calibri"/>
        </w:rPr>
        <w:t>6.5  Risk ve fırsatları düşünmek</w:t>
      </w:r>
    </w:p>
    <w:p>
      <w:pPr>
        <w:spacing w:before="0" w:after="120"/>
      </w:pPr>
      <w:r>
        <w:rPr>
          <w:rFonts w:ascii="Calibri" w:hAnsi="Calibri"/>
          <w:sz w:val="22"/>
        </w:rPr>
        <w:t>İşimde olası riskleri ve iyileştirme fırsatlarını sürekli düşünmek; küçük gözlemleri paylaşmak. Risk değerlendirmesi bir form doldurma değil, yaşayan bir disiplindir.</w:t>
      </w:r>
    </w:p>
    <w:p>
      <w:pPr>
        <w:pStyle w:val="Balk2"/>
        <w:spacing w:before="200" w:after="160"/>
      </w:pPr>
      <w:r>
        <w:rPr>
          <w:rFonts w:ascii="Calibri" w:hAnsi="Calibri"/>
        </w:rPr>
        <w:t>6.6  Müşteriyi (iç ve dış) merkeze koymak</w:t>
      </w:r>
    </w:p>
    <w:p>
      <w:pPr>
        <w:spacing w:before="0" w:after="120"/>
      </w:pPr>
      <w:r>
        <w:rPr>
          <w:rFonts w:ascii="Calibri" w:hAnsi="Calibri"/>
          <w:sz w:val="22"/>
        </w:rPr>
        <w:t>Bir sonraki sürecin sahibi de müşterimdir. Yapılan işin amacı 'tamamlamak' değil 'fayda yaratmaktır'.</w:t>
      </w:r>
    </w:p>
    <w:p>
      <w:pPr>
        <w:pStyle w:val="Balk2"/>
        <w:spacing w:before="200" w:after="160"/>
      </w:pPr>
      <w:r>
        <w:rPr>
          <w:rFonts w:ascii="Calibri" w:hAnsi="Calibri"/>
        </w:rPr>
        <w:t>6.7  Eğitim ve farkındalığa katılmak</w:t>
      </w:r>
    </w:p>
    <w:p>
      <w:pPr>
        <w:spacing w:before="0" w:after="120"/>
      </w:pPr>
      <w:r>
        <w:rPr>
          <w:rFonts w:ascii="Calibri" w:hAnsi="Calibri"/>
          <w:sz w:val="22"/>
        </w:rPr>
        <w:t>Yetkinliklerimi sürekli güncellemek, farkındalık eğitimlerine katılmak; öğrendiğimi paylaşmak.</w:t>
      </w:r>
    </w:p>
    <w:p>
      <w:pPr>
        <w:pStyle w:val="Balk2"/>
        <w:spacing w:before="200" w:after="160"/>
      </w:pPr>
      <w:r>
        <w:rPr>
          <w:rFonts w:ascii="Calibri" w:hAnsi="Calibri"/>
        </w:rPr>
        <w:t>6.8  YGG ve İç Tetkike katkı sunmak</w:t>
      </w:r>
    </w:p>
    <w:p>
      <w:pPr>
        <w:spacing w:before="0" w:after="120"/>
      </w:pPr>
      <w:r>
        <w:rPr>
          <w:rFonts w:ascii="Calibri" w:hAnsi="Calibri"/>
          <w:sz w:val="22"/>
        </w:rPr>
        <w:t>Tetkik bir yargılama değil bir doğrulama; verilere doğru cevap vermek, bulgulara açık olmak.</w:t>
      </w:r>
    </w:p>
    <w:p>
      <w:r>
        <w:br w:type="page"/>
      </w:r>
    </w:p>
    <w:p>
      <w:pPr>
        <w:pStyle w:val="Balk1"/>
        <w:spacing w:before="280" w:after="160"/>
      </w:pPr>
      <w:r>
        <w:rPr>
          <w:rFonts w:ascii="Calibri" w:hAnsi="Calibri"/>
        </w:rPr>
        <w:t>7. Sıkça Kullanılan Terimler Sözlüğü</w:t>
      </w:r>
    </w:p>
    <w:p>
      <w:pPr>
        <w:spacing w:before="0" w:after="120"/>
      </w:pPr>
      <w:r>
        <w:rPr>
          <w:rFonts w:ascii="Calibri" w:hAnsi="Calibri"/>
          <w:sz w:val="22"/>
        </w:rPr>
        <w:t>Eğitim sırasında ve günlük uygulamada sık karşılaşılan terimler aşağıda kısaca açıklanmıştır.</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Terim / Kısaltma</w:t>
            </w:r>
          </w:p>
        </w:tc>
        <w:tc>
          <w:tcPr>
            <w:tcW w:type="dxa" w:w="4513"/>
            <w:shd w:fill="273968"/>
          </w:tcPr>
          <w:p>
            <w:r/>
            <w:r>
              <w:rPr>
                <w:rFonts w:ascii="Calibri" w:hAnsi="Calibri"/>
                <w:b/>
                <w:color w:val="FFFFFF"/>
                <w:sz w:val="20"/>
              </w:rPr>
              <w:t>Tanım</w:t>
            </w:r>
          </w:p>
        </w:tc>
      </w:tr>
      <w:tr>
        <w:tc>
          <w:tcPr>
            <w:tcW w:type="dxa" w:w="4513"/>
            <w:shd w:fill="F4F6F9"/>
          </w:tcPr>
          <w:p>
            <w:r/>
            <w:r>
              <w:rPr>
                <w:rFonts w:ascii="Calibri" w:hAnsi="Calibri"/>
                <w:color w:val="1F2A37"/>
                <w:sz w:val="20"/>
              </w:rPr>
              <w:t>Kalite</w:t>
            </w:r>
          </w:p>
        </w:tc>
        <w:tc>
          <w:tcPr>
            <w:tcW w:type="dxa" w:w="4513"/>
            <w:shd w:fill="F4F6F9"/>
          </w:tcPr>
          <w:p>
            <w:r/>
            <w:r>
              <w:rPr>
                <w:rFonts w:ascii="Calibri" w:hAnsi="Calibri"/>
                <w:color w:val="1F2A37"/>
                <w:sz w:val="20"/>
              </w:rPr>
              <w:t>ISO 9000 tanımı: 'Bir nesnenin doğal özellikler kümesinin şartları karşılama derecesi.'</w:t>
            </w:r>
          </w:p>
        </w:tc>
      </w:tr>
      <w:tr>
        <w:tc>
          <w:tcPr>
            <w:tcW w:type="dxa" w:w="4513"/>
          </w:tcPr>
          <w:p>
            <w:r/>
            <w:r>
              <w:rPr>
                <w:rFonts w:ascii="Calibri" w:hAnsi="Calibri"/>
                <w:color w:val="1F2A37"/>
                <w:sz w:val="20"/>
              </w:rPr>
              <w:t>KYS</w:t>
            </w:r>
          </w:p>
        </w:tc>
        <w:tc>
          <w:tcPr>
            <w:tcW w:type="dxa" w:w="4513"/>
          </w:tcPr>
          <w:p>
            <w:r/>
            <w:r>
              <w:rPr>
                <w:rFonts w:ascii="Calibri" w:hAnsi="Calibri"/>
                <w:color w:val="1F2A37"/>
                <w:sz w:val="20"/>
              </w:rPr>
              <w:t>Kalite Yönetim Sistemi — politika, hedef, süreç ve kaynakların entegre bütünü.</w:t>
            </w:r>
          </w:p>
        </w:tc>
      </w:tr>
      <w:tr>
        <w:tc>
          <w:tcPr>
            <w:tcW w:type="dxa" w:w="4513"/>
            <w:shd w:fill="F4F6F9"/>
          </w:tcPr>
          <w:p>
            <w:r/>
            <w:r>
              <w:rPr>
                <w:rFonts w:ascii="Calibri" w:hAnsi="Calibri"/>
                <w:color w:val="1F2A37"/>
                <w:sz w:val="20"/>
              </w:rPr>
              <w:t>PUKÖ Döngüsü</w:t>
            </w:r>
          </w:p>
        </w:tc>
        <w:tc>
          <w:tcPr>
            <w:tcW w:type="dxa" w:w="4513"/>
            <w:shd w:fill="F4F6F9"/>
          </w:tcPr>
          <w:p>
            <w:r/>
            <w:r>
              <w:rPr>
                <w:rFonts w:ascii="Calibri" w:hAnsi="Calibri"/>
                <w:color w:val="1F2A37"/>
                <w:sz w:val="20"/>
              </w:rPr>
              <w:t>Planla – Uygula – Kontrol Et – Önlem Al; sürekli iyileştirmenin matematiği.</w:t>
            </w:r>
          </w:p>
        </w:tc>
      </w:tr>
      <w:tr>
        <w:tc>
          <w:tcPr>
            <w:tcW w:type="dxa" w:w="4513"/>
          </w:tcPr>
          <w:p>
            <w:r/>
            <w:r>
              <w:rPr>
                <w:rFonts w:ascii="Calibri" w:hAnsi="Calibri"/>
                <w:color w:val="1F2A37"/>
                <w:sz w:val="20"/>
              </w:rPr>
              <w:t>Risk Tabanlı Düşünce</w:t>
            </w:r>
          </w:p>
        </w:tc>
        <w:tc>
          <w:tcPr>
            <w:tcW w:type="dxa" w:w="4513"/>
          </w:tcPr>
          <w:p>
            <w:r/>
            <w:r>
              <w:rPr>
                <w:rFonts w:ascii="Calibri" w:hAnsi="Calibri"/>
                <w:color w:val="1F2A37"/>
                <w:sz w:val="20"/>
              </w:rPr>
              <w:t>Olası belirsizliklerin sistemli ele alınması; eski 'önleyici faaliyet' yerine.</w:t>
            </w:r>
          </w:p>
        </w:tc>
      </w:tr>
      <w:tr>
        <w:tc>
          <w:tcPr>
            <w:tcW w:type="dxa" w:w="4513"/>
            <w:shd w:fill="F4F6F9"/>
          </w:tcPr>
          <w:p>
            <w:r/>
            <w:r>
              <w:rPr>
                <w:rFonts w:ascii="Calibri" w:hAnsi="Calibri"/>
                <w:color w:val="1F2A37"/>
                <w:sz w:val="20"/>
              </w:rPr>
              <w:t>Belgelendirilmiş Bilgi</w:t>
            </w:r>
          </w:p>
        </w:tc>
        <w:tc>
          <w:tcPr>
            <w:tcW w:type="dxa" w:w="4513"/>
            <w:shd w:fill="F4F6F9"/>
          </w:tcPr>
          <w:p>
            <w:r/>
            <w:r>
              <w:rPr>
                <w:rFonts w:ascii="Calibri" w:hAnsi="Calibri"/>
                <w:color w:val="1F2A37"/>
                <w:sz w:val="20"/>
              </w:rPr>
              <w:t>Doküman (tutulması ve güncellenmesi) + Kayıt (kanıt amaçlı saklanan).</w:t>
            </w:r>
          </w:p>
        </w:tc>
      </w:tr>
      <w:tr>
        <w:tc>
          <w:tcPr>
            <w:tcW w:type="dxa" w:w="4513"/>
          </w:tcPr>
          <w:p>
            <w:r/>
            <w:r>
              <w:rPr>
                <w:rFonts w:ascii="Calibri" w:hAnsi="Calibri"/>
                <w:color w:val="1F2A37"/>
                <w:sz w:val="20"/>
              </w:rPr>
              <w:t>İlgili Taraflar</w:t>
            </w:r>
          </w:p>
        </w:tc>
        <w:tc>
          <w:tcPr>
            <w:tcW w:type="dxa" w:w="4513"/>
          </w:tcPr>
          <w:p>
            <w:r/>
            <w:r>
              <w:rPr>
                <w:rFonts w:ascii="Calibri" w:hAnsi="Calibri"/>
                <w:color w:val="1F2A37"/>
                <w:sz w:val="20"/>
              </w:rPr>
              <w:t>Kuruluşu etkileyen veya etkilenen müşteri, çalışan, tedarikçi, regülatör, toplum.</w:t>
            </w:r>
          </w:p>
        </w:tc>
      </w:tr>
      <w:tr>
        <w:tc>
          <w:tcPr>
            <w:tcW w:type="dxa" w:w="4513"/>
            <w:shd w:fill="F4F6F9"/>
          </w:tcPr>
          <w:p>
            <w:r/>
            <w:r>
              <w:rPr>
                <w:rFonts w:ascii="Calibri" w:hAnsi="Calibri"/>
                <w:color w:val="1F2A37"/>
                <w:sz w:val="20"/>
              </w:rPr>
              <w:t>Bağlam</w:t>
            </w:r>
          </w:p>
        </w:tc>
        <w:tc>
          <w:tcPr>
            <w:tcW w:type="dxa" w:w="4513"/>
            <w:shd w:fill="F4F6F9"/>
          </w:tcPr>
          <w:p>
            <w:r/>
            <w:r>
              <w:rPr>
                <w:rFonts w:ascii="Calibri" w:hAnsi="Calibri"/>
                <w:color w:val="1F2A37"/>
                <w:sz w:val="20"/>
              </w:rPr>
              <w:t>Kuruluşun iç ve dış konumunu belirleyen meseleler (PESTEL/SWOT).</w:t>
            </w:r>
          </w:p>
        </w:tc>
      </w:tr>
      <w:tr>
        <w:tc>
          <w:tcPr>
            <w:tcW w:type="dxa" w:w="4513"/>
          </w:tcPr>
          <w:p>
            <w:r/>
            <w:r>
              <w:rPr>
                <w:rFonts w:ascii="Calibri" w:hAnsi="Calibri"/>
                <w:color w:val="1F2A37"/>
                <w:sz w:val="20"/>
              </w:rPr>
              <w:t>Müşteri Memnuniyeti</w:t>
            </w:r>
          </w:p>
        </w:tc>
        <w:tc>
          <w:tcPr>
            <w:tcW w:type="dxa" w:w="4513"/>
          </w:tcPr>
          <w:p>
            <w:r/>
            <w:r>
              <w:rPr>
                <w:rFonts w:ascii="Calibri" w:hAnsi="Calibri"/>
                <w:color w:val="1F2A37"/>
                <w:sz w:val="20"/>
              </w:rPr>
              <w:t>Müşterinin algıladığı performansın beklentilerine göre değerlendirmesi.</w:t>
            </w:r>
          </w:p>
        </w:tc>
      </w:tr>
      <w:tr>
        <w:tc>
          <w:tcPr>
            <w:tcW w:type="dxa" w:w="4513"/>
            <w:shd w:fill="F4F6F9"/>
          </w:tcPr>
          <w:p>
            <w:r/>
            <w:r>
              <w:rPr>
                <w:rFonts w:ascii="Calibri" w:hAnsi="Calibri"/>
                <w:color w:val="1F2A37"/>
                <w:sz w:val="20"/>
              </w:rPr>
              <w:t>DÖF</w:t>
            </w:r>
          </w:p>
        </w:tc>
        <w:tc>
          <w:tcPr>
            <w:tcW w:type="dxa" w:w="4513"/>
            <w:shd w:fill="F4F6F9"/>
          </w:tcPr>
          <w:p>
            <w:r/>
            <w:r>
              <w:rPr>
                <w:rFonts w:ascii="Calibri" w:hAnsi="Calibri"/>
                <w:color w:val="1F2A37"/>
                <w:sz w:val="20"/>
              </w:rPr>
              <w:t>Düzeltici (ve Önleyici) Faaliyet — uygunsuzluğun kök nedenle çözümü.</w:t>
            </w:r>
          </w:p>
        </w:tc>
      </w:tr>
      <w:tr>
        <w:tc>
          <w:tcPr>
            <w:tcW w:type="dxa" w:w="4513"/>
          </w:tcPr>
          <w:p>
            <w:r/>
            <w:r>
              <w:rPr>
                <w:rFonts w:ascii="Calibri" w:hAnsi="Calibri"/>
                <w:color w:val="1F2A37"/>
                <w:sz w:val="20"/>
              </w:rPr>
              <w:t>YGG</w:t>
            </w:r>
          </w:p>
        </w:tc>
        <w:tc>
          <w:tcPr>
            <w:tcW w:type="dxa" w:w="4513"/>
          </w:tcPr>
          <w:p>
            <w:r/>
            <w:r>
              <w:rPr>
                <w:rFonts w:ascii="Calibri" w:hAnsi="Calibri"/>
                <w:color w:val="1F2A37"/>
                <w:sz w:val="20"/>
              </w:rPr>
              <w:t>Yönetimin Gözden Geçirmesi — üst yönetimin planlı sistem değerlendirmesi.</w:t>
            </w:r>
          </w:p>
        </w:tc>
      </w:tr>
    </w:tbl>
    <w:p>
      <w:r>
        <w:br w:type="page"/>
      </w:r>
    </w:p>
    <w:p>
      <w:pPr>
        <w:pStyle w:val="Balk1"/>
        <w:spacing w:before="280" w:after="160"/>
      </w:pPr>
      <w:r>
        <w:rPr>
          <w:rFonts w:ascii="Calibri" w:hAnsi="Calibri"/>
        </w:rPr>
        <w:t>8. Kişisel Notlar</w:t>
      </w:r>
    </w:p>
    <w:p>
      <w:pPr>
        <w:spacing w:before="0" w:after="120"/>
      </w:pPr>
      <w:r>
        <w:rPr>
          <w:rFonts w:ascii="Calibri" w:hAnsi="Calibri"/>
          <w:color w:val="6B7280"/>
          <w:sz w:val="22"/>
        </w:rPr>
        <w:t>Bu bölüm, eğitim sırasında almak isteyeceğiniz notlar için boş bırakılmıştır.</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sectPr w:rsidR="006E20E9">
      <w:headerReference w:type="default" r:id="rId7"/>
      <w:footerReference w:type="default" r:id="rId8"/>
      <w:pgSz w:w="11906" w:h="16838"/>
      <w:pgMar w:top="2880" w:right="1440" w:bottom="180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D35F7" w14:textId="77777777" w:rsidR="006E20E9" w:rsidRDefault="006E20E9">
      <w:r>
        <w:separator/>
      </w:r>
    </w:p>
  </w:endnote>
  <w:endnote w:type="continuationSeparator" w:id="0">
    <w:p w14:paraId="4DFA429D" w14:textId="77777777" w:rsidR="006E20E9" w:rsidRDefault="006E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F3F9" w14:textId="77777777" w:rsidR="00E83395" w:rsidRDefault="00E83395">
    <w:pPr>
      <w:pBdr>
        <w:top w:val="single" w:sz="6" w:space="4" w:color="D1D5DB"/>
      </w:pBdr>
      <w:spacing w:after="60"/>
    </w:pPr>
  </w:p>
  <w:p w14:paraId="124867C9" w14:textId="77777777" w:rsidR="00E83395" w:rsidRDefault="00000000">
    <w:pPr>
      <w:tabs>
        <w:tab w:val="center" w:pos="4680"/>
        <w:tab w:val="right" w:pos="9360"/>
      </w:tabs>
    </w:pPr>
    <w:r>
      <w:rPr>
        <w:color w:val="6B7280"/>
        <w:sz w:val="16"/>
        <w:szCs w:val="16"/>
      </w:rPr>
      <w:t>Bayraklı / İzmir   |   +90 232 433 21 44</w:t>
    </w:r>
    <w:r>
      <w:tab/>
    </w:r>
    <w:r>
      <w:rPr>
        <w:b/>
        <w:bCs/>
        <w:color w:val="273968"/>
        <w:sz w:val="16"/>
        <w:szCs w:val="16"/>
      </w:rPr>
      <w:t>www.besabelge.com</w:t>
    </w:r>
    <w:r>
      <w:tab/>
    </w:r>
    <w:r>
      <w:rPr>
        <w:color w:val="6B7280"/>
        <w:sz w:val="16"/>
        <w:szCs w:val="16"/>
      </w:rPr>
      <w:t xml:space="preserve">Sayfa </w:t>
    </w:r>
    <w:r>
      <w:rPr>
        <w:color w:val="6B7280"/>
        <w:sz w:val="16"/>
        <w:szCs w:val="16"/>
      </w:rPr>
      <w:fldChar w:fldCharType="begin"/>
    </w:r>
    <w:r>
      <w:rPr>
        <w:color w:val="6B7280"/>
        <w:sz w:val="16"/>
        <w:szCs w:val="16"/>
      </w:rPr>
      <w:instrText>PAGE</w:instrText>
    </w:r>
    <w:r>
      <w:rPr>
        <w:color w:val="6B7280"/>
        <w:sz w:val="16"/>
        <w:szCs w:val="16"/>
      </w:rPr>
      <w:fldChar w:fldCharType="separate"/>
    </w:r>
    <w:r w:rsidR="0073531A">
      <w:rPr>
        <w:noProof/>
        <w:color w:val="6B7280"/>
        <w:sz w:val="16"/>
        <w:szCs w:val="16"/>
      </w:rPr>
      <w:t>1</w:t>
    </w:r>
    <w:r>
      <w:rPr>
        <w:color w:val="6B7280"/>
        <w:sz w:val="16"/>
        <w:szCs w:val="16"/>
      </w:rPr>
      <w:fldChar w:fldCharType="end"/>
    </w:r>
    <w:r>
      <w:rPr>
        <w:color w:val="6B7280"/>
        <w:sz w:val="16"/>
        <w:szCs w:val="16"/>
      </w:rPr>
      <w:t xml:space="preserve"> / </w:t>
    </w:r>
    <w:r>
      <w:rPr>
        <w:color w:val="6B7280"/>
        <w:sz w:val="16"/>
        <w:szCs w:val="16"/>
      </w:rPr>
      <w:fldChar w:fldCharType="begin"/>
    </w:r>
    <w:r>
      <w:rPr>
        <w:color w:val="6B7280"/>
        <w:sz w:val="16"/>
        <w:szCs w:val="16"/>
      </w:rPr>
      <w:instrText>NUMPAGES</w:instrText>
    </w:r>
    <w:r>
      <w:rPr>
        <w:color w:val="6B7280"/>
        <w:sz w:val="16"/>
        <w:szCs w:val="16"/>
      </w:rPr>
      <w:fldChar w:fldCharType="separate"/>
    </w:r>
    <w:r w:rsidR="0073531A">
      <w:rPr>
        <w:noProof/>
        <w:color w:val="6B7280"/>
        <w:sz w:val="16"/>
        <w:szCs w:val="16"/>
      </w:rPr>
      <w:t>2</w:t>
    </w:r>
    <w:r>
      <w:rPr>
        <w:color w:val="6B72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5DFD1" w14:textId="77777777" w:rsidR="006E20E9" w:rsidRDefault="006E20E9">
      <w:r>
        <w:separator/>
      </w:r>
    </w:p>
  </w:footnote>
  <w:footnote w:type="continuationSeparator" w:id="0">
    <w:p w14:paraId="67F32F5A" w14:textId="77777777" w:rsidR="006E20E9" w:rsidRDefault="006E2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000"/>
      <w:gridCol w:w="6360"/>
    </w:tblGrid>
    <w:tr w:rsidR="00E83395" w14:paraId="4C7C3605" w14:textId="77777777">
      <w:tblPrEx>
        <w:tblCellMar>
          <w:top w:w="0" w:type="dxa"/>
          <w:bottom w:w="0" w:type="dxa"/>
        </w:tblCellMar>
      </w:tblPrEx>
      <w:tc>
        <w:tcPr>
          <w:tcW w:w="30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E9EA58" w14:textId="77777777" w:rsidR="00E83395" w:rsidRDefault="00000000">
          <w:r>
            <w:rPr>
              <w:noProof/>
            </w:rPr>
            <w:drawing>
              <wp:inline distT="0" distB="0" distL="0" distR="0" wp14:anchorId="3220D8E3" wp14:editId="312D54CE">
                <wp:extent cx="1047750" cy="619125"/>
                <wp:effectExtent l="0" t="0" r="0" b="0"/>
                <wp:docPr id="1" name="BESA" descr="BESA Logo" title="B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47750" cy="619125"/>
                        </a:xfrm>
                        <a:prstGeom prst="rect">
                          <a:avLst/>
                        </a:prstGeom>
                      </pic:spPr>
                    </pic:pic>
                  </a:graphicData>
                </a:graphic>
              </wp:inline>
            </w:drawing>
          </w:r>
        </w:p>
      </w:tc>
      <w:tc>
        <w:tcPr>
          <w:tcW w:w="63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CFEFEF" w14:textId="77777777" w:rsidR="00E83395" w:rsidRDefault="00000000">
          <w:pPr>
            <w:spacing w:after="60" w:line="260" w:lineRule="auto"/>
            <w:jc w:val="right"/>
          </w:pPr>
          <w:r>
            <w:rPr>
              <w:b/>
              <w:bCs/>
              <w:color w:val="273968"/>
              <w:sz w:val="26"/>
              <w:szCs w:val="26"/>
            </w:rPr>
            <w:t>BESA Uluslararası Belgelendirme</w:t>
          </w:r>
        </w:p>
        <w:p w14:paraId="003485FC" w14:textId="77777777" w:rsidR="00E83395" w:rsidRDefault="00000000">
          <w:pPr>
            <w:spacing w:after="120"/>
            <w:jc w:val="right"/>
          </w:pPr>
          <w:r>
            <w:rPr>
              <w:i/>
              <w:iCs/>
              <w:color w:val="EF7B2C"/>
              <w:sz w:val="18"/>
              <w:szCs w:val="18"/>
            </w:rPr>
            <w:t>Kontrol ve Gözetim Hizmetleri Ltd. Şti.</w:t>
          </w:r>
        </w:p>
        <w:p w14:paraId="7A04C639" w14:textId="77777777" w:rsidR="00E83395" w:rsidRDefault="00000000">
          <w:pPr>
            <w:spacing w:after="30"/>
            <w:jc w:val="right"/>
          </w:pPr>
          <w:r>
            <w:rPr>
              <w:b/>
              <w:bCs/>
              <w:color w:val="273968"/>
              <w:sz w:val="16"/>
              <w:szCs w:val="16"/>
            </w:rPr>
            <w:t xml:space="preserve">Adres :  </w:t>
          </w:r>
          <w:r>
            <w:rPr>
              <w:color w:val="595959"/>
              <w:sz w:val="18"/>
              <w:szCs w:val="18"/>
            </w:rPr>
            <w:t>Mansuroğlu Mah. 286 Sok. No:35/A</w:t>
          </w:r>
          <w:r>
            <w:rPr>
              <w:color w:val="595959"/>
              <w:sz w:val="18"/>
              <w:szCs w:val="18"/>
            </w:rPr>
            <w:br/>
            <w:t>Gültekinler İş Merkezi D:2</w:t>
          </w:r>
          <w:r>
            <w:rPr>
              <w:color w:val="595959"/>
              <w:sz w:val="18"/>
              <w:szCs w:val="18"/>
            </w:rPr>
            <w:br/>
            <w:t>Bayraklı / İzmir</w:t>
          </w:r>
        </w:p>
        <w:p w14:paraId="243562F5" w14:textId="77777777" w:rsidR="00E83395" w:rsidRDefault="00000000">
          <w:pPr>
            <w:spacing w:after="30"/>
            <w:jc w:val="right"/>
          </w:pPr>
          <w:r>
            <w:rPr>
              <w:b/>
              <w:bCs/>
              <w:color w:val="273968"/>
              <w:sz w:val="16"/>
              <w:szCs w:val="16"/>
            </w:rPr>
            <w:t xml:space="preserve">Tel    :  </w:t>
          </w:r>
          <w:r>
            <w:rPr>
              <w:color w:val="595959"/>
              <w:sz w:val="18"/>
              <w:szCs w:val="18"/>
            </w:rPr>
            <w:t>+90 232 433 21 44</w:t>
          </w:r>
        </w:p>
        <w:p w14:paraId="2F222899" w14:textId="77777777" w:rsidR="00E83395" w:rsidRDefault="00000000">
          <w:pPr>
            <w:jc w:val="right"/>
          </w:pPr>
          <w:r>
            <w:rPr>
              <w:b/>
              <w:bCs/>
              <w:color w:val="273968"/>
              <w:sz w:val="16"/>
              <w:szCs w:val="16"/>
            </w:rPr>
            <w:t xml:space="preserve">E-Posta :  </w:t>
          </w:r>
          <w:r>
            <w:rPr>
              <w:color w:val="595959"/>
              <w:sz w:val="18"/>
              <w:szCs w:val="18"/>
            </w:rPr>
            <w:t>info@besabelge.com</w:t>
          </w:r>
        </w:p>
      </w:tc>
    </w:tr>
  </w:tbl>
  <w:p w14:paraId="54313FBF" w14:textId="77777777" w:rsidR="00E83395" w:rsidRPr="0073531A" w:rsidRDefault="00E83395" w:rsidP="0073531A">
    <w:pPr>
      <w:pBdr>
        <w:bottom w:val="single" w:sz="6" w:space="1" w:color="EF7B2C"/>
      </w:pBdr>
      <w:spacing w:before="60"/>
      <w:ind w:right="-33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67084"/>
    <w:multiLevelType w:val="hybridMultilevel"/>
    <w:tmpl w:val="91E2392A"/>
    <w:lvl w:ilvl="0" w:tplc="6F941070">
      <w:start w:val="1"/>
      <w:numFmt w:val="decimal"/>
      <w:lvlText w:val="%1."/>
      <w:lvlJc w:val="left"/>
      <w:pPr>
        <w:ind w:left="720" w:hanging="360"/>
      </w:pPr>
      <w:rPr>
        <w:b/>
        <w:bCs/>
        <w:color w:val="EF7B2C"/>
      </w:rPr>
    </w:lvl>
    <w:lvl w:ilvl="1" w:tplc="F7B0BCEE">
      <w:numFmt w:val="decimal"/>
      <w:lvlText w:val=""/>
      <w:lvlJc w:val="left"/>
    </w:lvl>
    <w:lvl w:ilvl="2" w:tplc="9DBCBDA0">
      <w:numFmt w:val="decimal"/>
      <w:lvlText w:val=""/>
      <w:lvlJc w:val="left"/>
    </w:lvl>
    <w:lvl w:ilvl="3" w:tplc="4BE88A7E">
      <w:numFmt w:val="decimal"/>
      <w:lvlText w:val=""/>
      <w:lvlJc w:val="left"/>
    </w:lvl>
    <w:lvl w:ilvl="4" w:tplc="9252E714">
      <w:numFmt w:val="decimal"/>
      <w:lvlText w:val=""/>
      <w:lvlJc w:val="left"/>
    </w:lvl>
    <w:lvl w:ilvl="5" w:tplc="953EE976">
      <w:numFmt w:val="decimal"/>
      <w:lvlText w:val=""/>
      <w:lvlJc w:val="left"/>
    </w:lvl>
    <w:lvl w:ilvl="6" w:tplc="18720D8E">
      <w:numFmt w:val="decimal"/>
      <w:lvlText w:val=""/>
      <w:lvlJc w:val="left"/>
    </w:lvl>
    <w:lvl w:ilvl="7" w:tplc="4C945D2E">
      <w:numFmt w:val="decimal"/>
      <w:lvlText w:val=""/>
      <w:lvlJc w:val="left"/>
    </w:lvl>
    <w:lvl w:ilvl="8" w:tplc="28D8449A">
      <w:numFmt w:val="decimal"/>
      <w:lvlText w:val=""/>
      <w:lvlJc w:val="left"/>
    </w:lvl>
  </w:abstractNum>
  <w:abstractNum w:abstractNumId="1" w15:restartNumberingAfterBreak="0">
    <w:nsid w:val="6C070F14"/>
    <w:multiLevelType w:val="hybridMultilevel"/>
    <w:tmpl w:val="A21EE09C"/>
    <w:lvl w:ilvl="0" w:tplc="487AD87E">
      <w:start w:val="1"/>
      <w:numFmt w:val="bullet"/>
      <w:lvlText w:val="●"/>
      <w:lvlJc w:val="left"/>
      <w:pPr>
        <w:ind w:left="720" w:hanging="360"/>
      </w:pPr>
    </w:lvl>
    <w:lvl w:ilvl="1" w:tplc="1840C9B4">
      <w:start w:val="1"/>
      <w:numFmt w:val="bullet"/>
      <w:lvlText w:val="○"/>
      <w:lvlJc w:val="left"/>
      <w:pPr>
        <w:ind w:left="1440" w:hanging="360"/>
      </w:pPr>
    </w:lvl>
    <w:lvl w:ilvl="2" w:tplc="7F5C7E3E">
      <w:start w:val="1"/>
      <w:numFmt w:val="bullet"/>
      <w:lvlText w:val="■"/>
      <w:lvlJc w:val="left"/>
      <w:pPr>
        <w:ind w:left="2160" w:hanging="360"/>
      </w:pPr>
    </w:lvl>
    <w:lvl w:ilvl="3" w:tplc="90605D7C">
      <w:start w:val="1"/>
      <w:numFmt w:val="bullet"/>
      <w:lvlText w:val="●"/>
      <w:lvlJc w:val="left"/>
      <w:pPr>
        <w:ind w:left="2880" w:hanging="360"/>
      </w:pPr>
    </w:lvl>
    <w:lvl w:ilvl="4" w:tplc="DEA4EFB4">
      <w:start w:val="1"/>
      <w:numFmt w:val="bullet"/>
      <w:lvlText w:val="○"/>
      <w:lvlJc w:val="left"/>
      <w:pPr>
        <w:ind w:left="3600" w:hanging="360"/>
      </w:pPr>
    </w:lvl>
    <w:lvl w:ilvl="5" w:tplc="74FC8938">
      <w:start w:val="1"/>
      <w:numFmt w:val="bullet"/>
      <w:lvlText w:val="■"/>
      <w:lvlJc w:val="left"/>
      <w:pPr>
        <w:ind w:left="4320" w:hanging="360"/>
      </w:pPr>
    </w:lvl>
    <w:lvl w:ilvl="6" w:tplc="D1204146">
      <w:start w:val="1"/>
      <w:numFmt w:val="bullet"/>
      <w:lvlText w:val="●"/>
      <w:lvlJc w:val="left"/>
      <w:pPr>
        <w:ind w:left="5040" w:hanging="360"/>
      </w:pPr>
    </w:lvl>
    <w:lvl w:ilvl="7" w:tplc="842AA238">
      <w:start w:val="1"/>
      <w:numFmt w:val="bullet"/>
      <w:lvlText w:val="●"/>
      <w:lvlJc w:val="left"/>
      <w:pPr>
        <w:ind w:left="5760" w:hanging="360"/>
      </w:pPr>
    </w:lvl>
    <w:lvl w:ilvl="8" w:tplc="CACA6424">
      <w:start w:val="1"/>
      <w:numFmt w:val="bullet"/>
      <w:lvlText w:val="●"/>
      <w:lvlJc w:val="left"/>
      <w:pPr>
        <w:ind w:left="6480" w:hanging="360"/>
      </w:pPr>
    </w:lvl>
  </w:abstractNum>
  <w:abstractNum w:abstractNumId="2" w15:restartNumberingAfterBreak="0">
    <w:nsid w:val="6DB3423D"/>
    <w:multiLevelType w:val="hybridMultilevel"/>
    <w:tmpl w:val="A61E62FA"/>
    <w:lvl w:ilvl="0" w:tplc="96EA186A">
      <w:start w:val="1"/>
      <w:numFmt w:val="bullet"/>
      <w:lvlText w:val="•"/>
      <w:lvlJc w:val="left"/>
      <w:pPr>
        <w:ind w:left="720" w:hanging="360"/>
      </w:pPr>
      <w:rPr>
        <w:b/>
        <w:bCs/>
        <w:color w:val="EF7B2C"/>
      </w:rPr>
    </w:lvl>
    <w:lvl w:ilvl="1" w:tplc="F8B6F7C2">
      <w:numFmt w:val="decimal"/>
      <w:lvlText w:val=""/>
      <w:lvlJc w:val="left"/>
    </w:lvl>
    <w:lvl w:ilvl="2" w:tplc="90B4D846">
      <w:numFmt w:val="decimal"/>
      <w:lvlText w:val=""/>
      <w:lvlJc w:val="left"/>
    </w:lvl>
    <w:lvl w:ilvl="3" w:tplc="B0BE0AF0">
      <w:numFmt w:val="decimal"/>
      <w:lvlText w:val=""/>
      <w:lvlJc w:val="left"/>
    </w:lvl>
    <w:lvl w:ilvl="4" w:tplc="11CC38D2">
      <w:numFmt w:val="decimal"/>
      <w:lvlText w:val=""/>
      <w:lvlJc w:val="left"/>
    </w:lvl>
    <w:lvl w:ilvl="5" w:tplc="453446A6">
      <w:numFmt w:val="decimal"/>
      <w:lvlText w:val=""/>
      <w:lvlJc w:val="left"/>
    </w:lvl>
    <w:lvl w:ilvl="6" w:tplc="9B7EAAC4">
      <w:numFmt w:val="decimal"/>
      <w:lvlText w:val=""/>
      <w:lvlJc w:val="left"/>
    </w:lvl>
    <w:lvl w:ilvl="7" w:tplc="C2467EA2">
      <w:numFmt w:val="decimal"/>
      <w:lvlText w:val=""/>
      <w:lvlJc w:val="left"/>
    </w:lvl>
    <w:lvl w:ilvl="8" w:tplc="830CEEE2">
      <w:numFmt w:val="decimal"/>
      <w:lvlText w:val=""/>
      <w:lvlJc w:val="left"/>
    </w:lvl>
  </w:abstractNum>
  <w:num w:numId="1" w16cid:durableId="2093156864">
    <w:abstractNumId w:val="1"/>
    <w:lvlOverride w:ilvl="0">
      <w:startOverride w:val="1"/>
    </w:lvlOverride>
  </w:num>
  <w:num w:numId="2" w16cid:durableId="209457941">
    <w:abstractNumId w:val="2"/>
    <w:lvlOverride w:ilvl="0">
      <w:startOverride w:val="1"/>
    </w:lvlOverride>
  </w:num>
  <w:num w:numId="3" w16cid:durableId="12846509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395"/>
    <w:rsid w:val="006E20E9"/>
    <w:rsid w:val="0073531A"/>
    <w:rsid w:val="00E83395"/>
    <w:rsid w:val="00F340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6A04E"/>
  <w15:docId w15:val="{94C51148-5919-4402-8918-DE42EC4D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F3F46"/>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280" w:after="160"/>
      <w:outlineLvl w:val="0"/>
    </w:pPr>
    <w:rPr>
      <w:b/>
      <w:bCs/>
      <w:color w:val="273968"/>
      <w:sz w:val="32"/>
      <w:szCs w:val="32"/>
    </w:rPr>
  </w:style>
  <w:style w:type="paragraph" w:styleId="Balk2">
    <w:name w:val="heading 2"/>
    <w:uiPriority w:val="9"/>
    <w:unhideWhenUsed/>
    <w:qFormat/>
    <w:pPr>
      <w:spacing w:before="200" w:after="120"/>
      <w:outlineLvl w:val="1"/>
    </w:pPr>
    <w:rPr>
      <w:b/>
      <w:bCs/>
      <w:color w:val="273968"/>
      <w:sz w:val="26"/>
      <w:szCs w:val="26"/>
    </w:rPr>
  </w:style>
  <w:style w:type="paragraph" w:styleId="Balk3">
    <w:name w:val="heading 3"/>
    <w:uiPriority w:val="9"/>
    <w:semiHidden/>
    <w:unhideWhenUsed/>
    <w:qFormat/>
    <w:pPr>
      <w:spacing w:before="160" w:after="80"/>
      <w:outlineLvl w:val="2"/>
    </w:pPr>
    <w:rPr>
      <w:b/>
      <w:bCs/>
      <w:color w:val="EF7B2C"/>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paragraph" w:styleId="stBilgi">
    <w:name w:val="header"/>
    <w:basedOn w:val="Normal"/>
    <w:link w:val="stBilgiChar"/>
    <w:uiPriority w:val="99"/>
    <w:unhideWhenUsed/>
    <w:rsid w:val="0073531A"/>
    <w:pPr>
      <w:tabs>
        <w:tab w:val="center" w:pos="4536"/>
        <w:tab w:val="right" w:pos="9072"/>
      </w:tabs>
    </w:pPr>
  </w:style>
  <w:style w:type="character" w:customStyle="1" w:styleId="stBilgiChar">
    <w:name w:val="Üst Bilgi Char"/>
    <w:basedOn w:val="VarsaylanParagrafYazTipi"/>
    <w:link w:val="stBilgi"/>
    <w:uiPriority w:val="99"/>
    <w:rsid w:val="0073531A"/>
  </w:style>
  <w:style w:type="paragraph" w:styleId="AltBilgi">
    <w:name w:val="footer"/>
    <w:basedOn w:val="Normal"/>
    <w:link w:val="AltBilgiChar"/>
    <w:uiPriority w:val="99"/>
    <w:unhideWhenUsed/>
    <w:rsid w:val="0073531A"/>
    <w:pPr>
      <w:tabs>
        <w:tab w:val="center" w:pos="4536"/>
        <w:tab w:val="right" w:pos="9072"/>
      </w:tabs>
    </w:pPr>
  </w:style>
  <w:style w:type="character" w:customStyle="1" w:styleId="AltBilgiChar">
    <w:name w:val="Alt Bilgi Char"/>
    <w:basedOn w:val="VarsaylanParagrafYazTipi"/>
    <w:link w:val="AltBilgi"/>
    <w:uiPriority w:val="99"/>
    <w:rsid w:val="00735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BESA Kurumsal Doküman Şablonu</dc:title>
  <dc:creator>BESA</dc:creator>
  <dc:description>BESA marka kimliğine uygun kurumsal doküman şablonu</dc:description>
  <cp:lastModifiedBy>Raziye Gündüz</cp:lastModifiedBy>
  <cp:revision>2</cp:revision>
  <dcterms:created xsi:type="dcterms:W3CDTF">2026-05-04T07:05:00Z</dcterms:created>
  <dcterms:modified xsi:type="dcterms:W3CDTF">2026-05-06T09:16:00Z</dcterms:modified>
</cp:coreProperties>
</file>