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10002:2018</w:t>
      </w:r>
    </w:p>
    <w:p>
      <w:pPr>
        <w:spacing w:before="0" w:after="80"/>
        <w:jc w:val="left"/>
      </w:pPr>
      <w:r>
        <w:rPr>
          <w:rFonts w:ascii="Calibri" w:hAnsi="Calibri"/>
          <w:color w:val="1F2A37"/>
          <w:sz w:val="40"/>
        </w:rPr>
        <w:t>Müşteri Memnuniyeti ve Şikayet Yönetimi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BE010</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Müşteri ilişkileri, satış, kalite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10002:2018 standardı, kuruluşumuzun Müşteri Memnuniyeti ve Şikayet Yönetimi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"Şikayet bir hediyedir; iyileşmenin en ucuz yoludur."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10002:2018 standardı, kuruluşumuzun Müşteri Memnuniyeti ve Şikayet Yönetimi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10002:2018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10002:2018, Müşteri Memnuniyeti ve Şikayet Yönetimi alanında Müşteri ilişkileri, satış, kalite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10002:2018, kuruluşların Müşteri Memnuniyeti ve Şikayet Yönetimi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Şikayet: Memnuniyetsizlik bildirimi.</w:t>
      </w:r>
    </w:p>
    <w:p>
      <w:pPr>
        <w:pStyle w:val="ListeParagraf"/>
        <w:spacing w:after="60"/>
        <w:ind w:left="397"/>
      </w:pPr>
      <w:r>
        <w:rPr>
          <w:rFonts w:ascii="Calibri" w:hAnsi="Calibri"/>
          <w:color w:val="1F2A37"/>
          <w:sz w:val="22"/>
        </w:rPr>
        <w:t>•  Şikayet Sahibi: Bildirimi yapan müşteri/temsilci.</w:t>
      </w:r>
    </w:p>
    <w:p>
      <w:pPr>
        <w:pStyle w:val="ListeParagraf"/>
        <w:spacing w:after="60"/>
        <w:ind w:left="397"/>
      </w:pPr>
      <w:r>
        <w:rPr>
          <w:rFonts w:ascii="Calibri" w:hAnsi="Calibri"/>
          <w:color w:val="1F2A37"/>
          <w:sz w:val="22"/>
        </w:rPr>
        <w:t>•  Geri Bildirim: Müşterinin görüşü (olumlu/olumsuz).</w:t>
      </w:r>
    </w:p>
    <w:p>
      <w:pPr>
        <w:pStyle w:val="ListeParagraf"/>
        <w:spacing w:after="60"/>
        <w:ind w:left="397"/>
      </w:pPr>
      <w:r>
        <w:rPr>
          <w:rFonts w:ascii="Calibri" w:hAnsi="Calibri"/>
          <w:color w:val="1F2A37"/>
          <w:sz w:val="22"/>
        </w:rPr>
        <w:t>•  Çözümleme Süresi: Şikayetin sonuçlandırılma süresi.</w:t>
      </w:r>
    </w:p>
    <w:p>
      <w:pPr>
        <w:pStyle w:val="ListeParagraf"/>
        <w:spacing w:after="60"/>
        <w:ind w:left="397"/>
      </w:pPr>
      <w:r>
        <w:rPr>
          <w:rFonts w:ascii="Calibri" w:hAnsi="Calibri"/>
          <w:color w:val="1F2A37"/>
          <w:sz w:val="22"/>
        </w:rPr>
        <w:t>•  Kök Neden Analizi: Şikayetin asıl kaynağının bulunması.</w:t>
      </w:r>
    </w:p>
    <w:p>
      <w:pPr>
        <w:pStyle w:val="ListeParagraf"/>
        <w:spacing w:after="60"/>
        <w:ind w:left="397"/>
      </w:pPr>
      <w:r>
        <w:rPr>
          <w:rFonts w:ascii="Calibri" w:hAnsi="Calibri"/>
          <w:color w:val="1F2A37"/>
          <w:sz w:val="22"/>
        </w:rPr>
        <w:t>•  Müşteri Memnuniyet Endeksi (CSAT): Anket bazlı memnuniyet ölçümü.</w:t>
      </w:r>
    </w:p>
    <w:p>
      <w:pPr>
        <w:pStyle w:val="ListeParagraf"/>
        <w:spacing w:after="60"/>
        <w:ind w:left="397"/>
      </w:pPr>
      <w:r>
        <w:rPr>
          <w:rFonts w:ascii="Calibri" w:hAnsi="Calibri"/>
          <w:color w:val="1F2A37"/>
          <w:sz w:val="22"/>
        </w:rPr>
        <w:t>•  NPS: Net Promoter Score — tavsiye etme eğilimi.</w:t>
      </w:r>
    </w:p>
    <w:p>
      <w:pPr>
        <w:pStyle w:val="ListeParagraf"/>
        <w:spacing w:after="60"/>
        <w:ind w:left="397"/>
      </w:pPr>
      <w:r>
        <w:rPr>
          <w:rFonts w:ascii="Calibri" w:hAnsi="Calibri"/>
          <w:color w:val="1F2A37"/>
          <w:sz w:val="22"/>
        </w:rPr>
        <w:t>•  Şikayet Kanalı: Telefon, e-posta, web formu, sosyal medya vb.</w:t>
      </w:r>
    </w:p>
    <w:p>
      <w:pPr>
        <w:pStyle w:val="ListeParagraf"/>
        <w:spacing w:after="60"/>
        <w:ind w:left="397"/>
      </w:pPr>
      <w:r>
        <w:rPr>
          <w:rFonts w:ascii="Calibri" w:hAnsi="Calibri"/>
          <w:color w:val="1F2A37"/>
          <w:sz w:val="22"/>
        </w:rPr>
        <w:t>•  Telafi: Müşterinin yaşadığı sorunun giderilmesi için yapılan iyileştirme.</w:t>
      </w:r>
    </w:p>
    <w:p>
      <w:pPr>
        <w:pStyle w:val="ListeParagraf"/>
        <w:spacing w:after="60"/>
        <w:ind w:left="397"/>
      </w:pPr>
      <w:r>
        <w:rPr>
          <w:rFonts w:ascii="Calibri" w:hAnsi="Calibri"/>
          <w:color w:val="1F2A37"/>
          <w:sz w:val="22"/>
        </w:rPr>
        <w:t>•  Tarafsızlık: Süreç sahiplerinin şikayete ön yargısız yaklaşımı.</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2004 — ISO 10002 ilk sürümü.</w:t>
      </w:r>
    </w:p>
    <w:p>
      <w:pPr>
        <w:pStyle w:val="ListeParagraf"/>
        <w:spacing w:after="60"/>
        <w:ind w:left="397"/>
      </w:pPr>
      <w:r>
        <w:rPr>
          <w:rFonts w:ascii="Calibri" w:hAnsi="Calibri"/>
          <w:color w:val="1F2A37"/>
          <w:sz w:val="22"/>
        </w:rPr>
        <w:t>•  2014 — Revizyon.</w:t>
      </w:r>
    </w:p>
    <w:p>
      <w:pPr>
        <w:pStyle w:val="ListeParagraf"/>
        <w:spacing w:after="60"/>
        <w:ind w:left="397"/>
      </w:pPr>
      <w:r>
        <w:rPr>
          <w:rFonts w:ascii="Calibri" w:hAnsi="Calibri"/>
          <w:color w:val="1F2A37"/>
          <w:sz w:val="22"/>
        </w:rPr>
        <w:t>•  2018 — Annex SL uyumlu güncel sürüm.</w:t>
      </w:r>
    </w:p>
    <w:p>
      <w:pPr>
        <w:pStyle w:val="ListeParagraf"/>
        <w:spacing w:after="60"/>
        <w:ind w:left="397"/>
      </w:pPr>
      <w:r>
        <w:rPr>
          <w:rFonts w:ascii="Calibri" w:hAnsi="Calibri"/>
          <w:color w:val="1F2A37"/>
          <w:sz w:val="22"/>
        </w:rPr>
        <w:t>•  Bugün — Müşteri deneyimi yönetimi (CX) ile bütünleşik kullanılmaktadır.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10002:2018'in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Görünürlük</w:t>
      </w:r>
    </w:p>
    <w:p>
      <w:pPr>
        <w:spacing w:before="0" w:after="120"/>
      </w:pPr>
      <w:r>
        <w:rPr>
          <w:rFonts w:ascii="Calibri" w:hAnsi="Calibri"/>
          <w:sz w:val="22"/>
        </w:rPr>
        <w:t>Şikayet kanalları kolayca erişilebilir olmalıdır.</w:t>
      </w:r>
    </w:p>
    <w:p>
      <w:pPr>
        <w:pStyle w:val="Balk2"/>
        <w:spacing w:before="200" w:after="160"/>
      </w:pPr>
      <w:r>
        <w:rPr>
          <w:rFonts w:ascii="Calibri" w:hAnsi="Calibri"/>
        </w:rPr>
        <w:t>3.2  Erişilebilirlik</w:t>
      </w:r>
    </w:p>
    <w:p>
      <w:pPr>
        <w:spacing w:before="0" w:after="120"/>
      </w:pPr>
      <w:r>
        <w:rPr>
          <w:rFonts w:ascii="Calibri" w:hAnsi="Calibri"/>
          <w:sz w:val="22"/>
        </w:rPr>
        <w:t>Tüm müşteriler için engelsiz kanallar.</w:t>
      </w:r>
    </w:p>
    <w:p>
      <w:pPr>
        <w:pStyle w:val="Balk2"/>
        <w:spacing w:before="200" w:after="160"/>
      </w:pPr>
      <w:r>
        <w:rPr>
          <w:rFonts w:ascii="Calibri" w:hAnsi="Calibri"/>
        </w:rPr>
        <w:t>3.3  Yanıt Verilebilirlik</w:t>
      </w:r>
    </w:p>
    <w:p>
      <w:pPr>
        <w:spacing w:before="0" w:after="120"/>
      </w:pPr>
      <w:r>
        <w:rPr>
          <w:rFonts w:ascii="Calibri" w:hAnsi="Calibri"/>
          <w:sz w:val="22"/>
        </w:rPr>
        <w:t>Kabul, takip ve geri bildirim zorunlu.</w:t>
      </w:r>
    </w:p>
    <w:p>
      <w:pPr>
        <w:pStyle w:val="Balk2"/>
        <w:spacing w:before="200" w:after="160"/>
      </w:pPr>
      <w:r>
        <w:rPr>
          <w:rFonts w:ascii="Calibri" w:hAnsi="Calibri"/>
        </w:rPr>
        <w:t>3.4  Tarafsızlık</w:t>
      </w:r>
    </w:p>
    <w:p>
      <w:pPr>
        <w:spacing w:before="0" w:after="120"/>
      </w:pPr>
      <w:r>
        <w:rPr>
          <w:rFonts w:ascii="Calibri" w:hAnsi="Calibri"/>
          <w:sz w:val="22"/>
        </w:rPr>
        <w:t>Şikayet sahibine adil davranılır.</w:t>
      </w:r>
    </w:p>
    <w:p>
      <w:pPr>
        <w:pStyle w:val="Balk2"/>
        <w:spacing w:before="200" w:after="160"/>
      </w:pPr>
      <w:r>
        <w:rPr>
          <w:rFonts w:ascii="Calibri" w:hAnsi="Calibri"/>
        </w:rPr>
        <w:t>3.5  Ücretsizlik</w:t>
      </w:r>
    </w:p>
    <w:p>
      <w:pPr>
        <w:spacing w:before="0" w:after="120"/>
      </w:pPr>
      <w:r>
        <w:rPr>
          <w:rFonts w:ascii="Calibri" w:hAnsi="Calibri"/>
          <w:sz w:val="22"/>
        </w:rPr>
        <w:t>Müşteri şikayet bildirimi için ücret ödemez.</w:t>
      </w:r>
    </w:p>
    <w:p>
      <w:pPr>
        <w:pStyle w:val="Balk2"/>
        <w:spacing w:before="200" w:after="160"/>
      </w:pPr>
      <w:r>
        <w:rPr>
          <w:rFonts w:ascii="Calibri" w:hAnsi="Calibri"/>
        </w:rPr>
        <w:t>3.6  Gizlilik</w:t>
      </w:r>
    </w:p>
    <w:p>
      <w:pPr>
        <w:spacing w:before="0" w:after="120"/>
      </w:pPr>
      <w:r>
        <w:rPr>
          <w:rFonts w:ascii="Calibri" w:hAnsi="Calibri"/>
          <w:sz w:val="22"/>
        </w:rPr>
        <w:t>Müşteri bilgileri korunur.</w:t>
      </w:r>
    </w:p>
    <w:p>
      <w:pPr>
        <w:pStyle w:val="Balk2"/>
        <w:spacing w:before="200" w:after="160"/>
      </w:pPr>
      <w:r>
        <w:rPr>
          <w:rFonts w:ascii="Calibri" w:hAnsi="Calibri"/>
        </w:rPr>
        <w:t>3.7  Müşteri Odaklılık</w:t>
      </w:r>
    </w:p>
    <w:p>
      <w:pPr>
        <w:spacing w:before="0" w:after="120"/>
      </w:pPr>
      <w:r>
        <w:rPr>
          <w:rFonts w:ascii="Calibri" w:hAnsi="Calibri"/>
          <w:sz w:val="22"/>
        </w:rPr>
        <w:t>Müşterinin sesi karara dönüştürülür.</w:t>
      </w:r>
    </w:p>
    <w:p>
      <w:pPr>
        <w:pStyle w:val="Balk2"/>
        <w:spacing w:before="200" w:after="160"/>
      </w:pPr>
      <w:r>
        <w:rPr>
          <w:rFonts w:ascii="Calibri" w:hAnsi="Calibri"/>
        </w:rPr>
        <w:t>3.8  Hesap Verebilirlik</w:t>
      </w:r>
    </w:p>
    <w:p>
      <w:pPr>
        <w:spacing w:before="0" w:after="120"/>
      </w:pPr>
      <w:r>
        <w:rPr>
          <w:rFonts w:ascii="Calibri" w:hAnsi="Calibri"/>
          <w:sz w:val="22"/>
        </w:rPr>
        <w:t>Şikayet sürecinin sahibi belirlenir.</w:t>
      </w:r>
    </w:p>
    <w:p>
      <w:pPr>
        <w:pStyle w:val="Balk2"/>
        <w:spacing w:before="200" w:after="160"/>
      </w:pPr>
      <w:r>
        <w:rPr>
          <w:rFonts w:ascii="Calibri" w:hAnsi="Calibri"/>
        </w:rPr>
        <w:t>3.9  Sürekli İyileştirme</w:t>
      </w:r>
    </w:p>
    <w:p>
      <w:pPr>
        <w:spacing w:before="0" w:after="120"/>
      </w:pPr>
      <w:r>
        <w:rPr>
          <w:rFonts w:ascii="Calibri" w:hAnsi="Calibri"/>
          <w:sz w:val="22"/>
        </w:rPr>
        <w:t>Şikayetler kök neden için bir kaynaktır.</w:t>
      </w:r>
    </w:p>
    <w:p>
      <w:pPr>
        <w:pStyle w:val="Balk2"/>
        <w:spacing w:before="200" w:after="160"/>
      </w:pPr>
      <w:r>
        <w:rPr>
          <w:rFonts w:ascii="Calibri" w:hAnsi="Calibri"/>
        </w:rPr>
        <w:t>3.10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Şikayet</w:t>
            </w:r>
          </w:p>
        </w:tc>
        <w:tc>
          <w:tcPr>
            <w:tcW w:type="dxa" w:w="4513"/>
            <w:shd w:fill="F4F6F9"/>
          </w:tcPr>
          <w:p>
            <w:r/>
            <w:r>
              <w:rPr>
                <w:rFonts w:ascii="Calibri" w:hAnsi="Calibri"/>
                <w:color w:val="1F2A37"/>
                <w:sz w:val="20"/>
              </w:rPr>
              <w:t>Memnuniyetsizlik bildirimi.</w:t>
            </w:r>
          </w:p>
        </w:tc>
      </w:tr>
      <w:tr>
        <w:tc>
          <w:tcPr>
            <w:tcW w:type="dxa" w:w="4513"/>
          </w:tcPr>
          <w:p>
            <w:r/>
            <w:r>
              <w:rPr>
                <w:rFonts w:ascii="Calibri" w:hAnsi="Calibri"/>
                <w:color w:val="1F2A37"/>
                <w:sz w:val="20"/>
              </w:rPr>
              <w:t>Şikayet Sahibi</w:t>
            </w:r>
          </w:p>
        </w:tc>
        <w:tc>
          <w:tcPr>
            <w:tcW w:type="dxa" w:w="4513"/>
          </w:tcPr>
          <w:p>
            <w:r/>
            <w:r>
              <w:rPr>
                <w:rFonts w:ascii="Calibri" w:hAnsi="Calibri"/>
                <w:color w:val="1F2A37"/>
                <w:sz w:val="20"/>
              </w:rPr>
              <w:t>Bildirimi yapan müşteri/temsilci.</w:t>
            </w:r>
          </w:p>
        </w:tc>
      </w:tr>
      <w:tr>
        <w:tc>
          <w:tcPr>
            <w:tcW w:type="dxa" w:w="4513"/>
            <w:shd w:fill="F4F6F9"/>
          </w:tcPr>
          <w:p>
            <w:r/>
            <w:r>
              <w:rPr>
                <w:rFonts w:ascii="Calibri" w:hAnsi="Calibri"/>
                <w:color w:val="1F2A37"/>
                <w:sz w:val="20"/>
              </w:rPr>
              <w:t>Geri Bildirim</w:t>
            </w:r>
          </w:p>
        </w:tc>
        <w:tc>
          <w:tcPr>
            <w:tcW w:type="dxa" w:w="4513"/>
            <w:shd w:fill="F4F6F9"/>
          </w:tcPr>
          <w:p>
            <w:r/>
            <w:r>
              <w:rPr>
                <w:rFonts w:ascii="Calibri" w:hAnsi="Calibri"/>
                <w:color w:val="1F2A37"/>
                <w:sz w:val="20"/>
              </w:rPr>
              <w:t>Müşterinin görüşü (olumlu/olumsuz).</w:t>
            </w:r>
          </w:p>
        </w:tc>
      </w:tr>
      <w:tr>
        <w:tc>
          <w:tcPr>
            <w:tcW w:type="dxa" w:w="4513"/>
          </w:tcPr>
          <w:p>
            <w:r/>
            <w:r>
              <w:rPr>
                <w:rFonts w:ascii="Calibri" w:hAnsi="Calibri"/>
                <w:color w:val="1F2A37"/>
                <w:sz w:val="20"/>
              </w:rPr>
              <w:t>Çözümleme Süresi</w:t>
            </w:r>
          </w:p>
        </w:tc>
        <w:tc>
          <w:tcPr>
            <w:tcW w:type="dxa" w:w="4513"/>
          </w:tcPr>
          <w:p>
            <w:r/>
            <w:r>
              <w:rPr>
                <w:rFonts w:ascii="Calibri" w:hAnsi="Calibri"/>
                <w:color w:val="1F2A37"/>
                <w:sz w:val="20"/>
              </w:rPr>
              <w:t>Şikayetin sonuçlandırılma süresi.</w:t>
            </w:r>
          </w:p>
        </w:tc>
      </w:tr>
      <w:tr>
        <w:tc>
          <w:tcPr>
            <w:tcW w:type="dxa" w:w="4513"/>
            <w:shd w:fill="F4F6F9"/>
          </w:tcPr>
          <w:p>
            <w:r/>
            <w:r>
              <w:rPr>
                <w:rFonts w:ascii="Calibri" w:hAnsi="Calibri"/>
                <w:color w:val="1F2A37"/>
                <w:sz w:val="20"/>
              </w:rPr>
              <w:t>Kök Neden Analizi</w:t>
            </w:r>
          </w:p>
        </w:tc>
        <w:tc>
          <w:tcPr>
            <w:tcW w:type="dxa" w:w="4513"/>
            <w:shd w:fill="F4F6F9"/>
          </w:tcPr>
          <w:p>
            <w:r/>
            <w:r>
              <w:rPr>
                <w:rFonts w:ascii="Calibri" w:hAnsi="Calibri"/>
                <w:color w:val="1F2A37"/>
                <w:sz w:val="20"/>
              </w:rPr>
              <w:t>Şikayetin asıl kaynağının bulunması.</w:t>
            </w:r>
          </w:p>
        </w:tc>
      </w:tr>
      <w:tr>
        <w:tc>
          <w:tcPr>
            <w:tcW w:type="dxa" w:w="4513"/>
          </w:tcPr>
          <w:p>
            <w:r/>
            <w:r>
              <w:rPr>
                <w:rFonts w:ascii="Calibri" w:hAnsi="Calibri"/>
                <w:color w:val="1F2A37"/>
                <w:sz w:val="20"/>
              </w:rPr>
              <w:t>Müşteri Memnuniyet Endeksi (CSAT)</w:t>
            </w:r>
          </w:p>
        </w:tc>
        <w:tc>
          <w:tcPr>
            <w:tcW w:type="dxa" w:w="4513"/>
          </w:tcPr>
          <w:p>
            <w:r/>
            <w:r>
              <w:rPr>
                <w:rFonts w:ascii="Calibri" w:hAnsi="Calibri"/>
                <w:color w:val="1F2A37"/>
                <w:sz w:val="20"/>
              </w:rPr>
              <w:t>Anket bazlı memnuniyet ölçümü.</w:t>
            </w:r>
          </w:p>
        </w:tc>
      </w:tr>
      <w:tr>
        <w:tc>
          <w:tcPr>
            <w:tcW w:type="dxa" w:w="4513"/>
            <w:shd w:fill="F4F6F9"/>
          </w:tcPr>
          <w:p>
            <w:r/>
            <w:r>
              <w:rPr>
                <w:rFonts w:ascii="Calibri" w:hAnsi="Calibri"/>
                <w:color w:val="1F2A37"/>
                <w:sz w:val="20"/>
              </w:rPr>
              <w:t>NPS</w:t>
            </w:r>
          </w:p>
        </w:tc>
        <w:tc>
          <w:tcPr>
            <w:tcW w:type="dxa" w:w="4513"/>
            <w:shd w:fill="F4F6F9"/>
          </w:tcPr>
          <w:p>
            <w:r/>
            <w:r>
              <w:rPr>
                <w:rFonts w:ascii="Calibri" w:hAnsi="Calibri"/>
                <w:color w:val="1F2A37"/>
                <w:sz w:val="20"/>
              </w:rPr>
              <w:t>Net Promoter Score — tavsiye etme eğilimi.</w:t>
            </w:r>
          </w:p>
        </w:tc>
      </w:tr>
      <w:tr>
        <w:tc>
          <w:tcPr>
            <w:tcW w:type="dxa" w:w="4513"/>
          </w:tcPr>
          <w:p>
            <w:r/>
            <w:r>
              <w:rPr>
                <w:rFonts w:ascii="Calibri" w:hAnsi="Calibri"/>
                <w:color w:val="1F2A37"/>
                <w:sz w:val="20"/>
              </w:rPr>
              <w:t>Şikayet Kanalı</w:t>
            </w:r>
          </w:p>
        </w:tc>
        <w:tc>
          <w:tcPr>
            <w:tcW w:type="dxa" w:w="4513"/>
          </w:tcPr>
          <w:p>
            <w:r/>
            <w:r>
              <w:rPr>
                <w:rFonts w:ascii="Calibri" w:hAnsi="Calibri"/>
                <w:color w:val="1F2A37"/>
                <w:sz w:val="20"/>
              </w:rPr>
              <w:t>Telefon, e-posta, web formu, sosyal medya vb.</w:t>
            </w:r>
          </w:p>
        </w:tc>
      </w:tr>
      <w:tr>
        <w:tc>
          <w:tcPr>
            <w:tcW w:type="dxa" w:w="4513"/>
            <w:shd w:fill="F4F6F9"/>
          </w:tcPr>
          <w:p>
            <w:r/>
            <w:r>
              <w:rPr>
                <w:rFonts w:ascii="Calibri" w:hAnsi="Calibri"/>
                <w:color w:val="1F2A37"/>
                <w:sz w:val="20"/>
              </w:rPr>
              <w:t>Telafi</w:t>
            </w:r>
          </w:p>
        </w:tc>
        <w:tc>
          <w:tcPr>
            <w:tcW w:type="dxa" w:w="4513"/>
            <w:shd w:fill="F4F6F9"/>
          </w:tcPr>
          <w:p>
            <w:r/>
            <w:r>
              <w:rPr>
                <w:rFonts w:ascii="Calibri" w:hAnsi="Calibri"/>
                <w:color w:val="1F2A37"/>
                <w:sz w:val="20"/>
              </w:rPr>
              <w:t>Müşterinin yaşadığı sorunun giderilmesi için yapılan iyileştirme.</w:t>
            </w:r>
          </w:p>
        </w:tc>
      </w:tr>
      <w:tr>
        <w:tc>
          <w:tcPr>
            <w:tcW w:type="dxa" w:w="4513"/>
          </w:tcPr>
          <w:p>
            <w:r/>
            <w:r>
              <w:rPr>
                <w:rFonts w:ascii="Calibri" w:hAnsi="Calibri"/>
                <w:color w:val="1F2A37"/>
                <w:sz w:val="20"/>
              </w:rPr>
              <w:t>Tarafsızlık</w:t>
            </w:r>
          </w:p>
        </w:tc>
        <w:tc>
          <w:tcPr>
            <w:tcW w:type="dxa" w:w="4513"/>
          </w:tcPr>
          <w:p>
            <w:r/>
            <w:r>
              <w:rPr>
                <w:rFonts w:ascii="Calibri" w:hAnsi="Calibri"/>
                <w:color w:val="1F2A37"/>
                <w:sz w:val="20"/>
              </w:rPr>
              <w:t>Süreç sahiplerinin şikayete ön yargısız yaklaşımı.</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