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Kalibrasyon</w:t>
      </w:r>
    </w:p>
    <w:p>
      <w:pPr>
        <w:spacing w:before="0" w:after="80"/>
        <w:jc w:val="left"/>
      </w:pPr>
      <w:r>
        <w:rPr>
          <w:rFonts w:ascii="Calibri" w:hAnsi="Calibri"/>
          <w:color w:val="1F2A37"/>
          <w:sz w:val="40"/>
        </w:rPr>
        <w:t>Ölçüm Cihazlarının Doğruluğunun Sağlanması</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BE011</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Üretim, kalite, laboratuvar ve bakım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Kalibrasyon standardı, kuruluşumuzun Ölçüm Cihazlarının Doğruluğunun Sağlanması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"Ölçemediğin şeyi yönetemezsin; yanlış ölçmek hiç ölçmemekten kötüdür."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Kalibrasyon standardı, kuruluşumuzun Ölçüm Cihazlarının Doğruluğunun Sağlanması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Kalibrasyon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Kalibrasyon, Ölçüm Cihazlarının Doğruluğunun Sağlanması alanında Üretim, kalite, laboratuvar ve bakım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Kalibrasyon, kuruluşların Ölçüm Cihazlarının Doğruluğunun Sağlanması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Kalibrasyon: Bilinen referans ile karşılaştırma sonucu cihaz sapmasının belirlenmesi.</w:t>
      </w:r>
    </w:p>
    <w:p>
      <w:pPr>
        <w:pStyle w:val="ListeParagraf"/>
        <w:spacing w:after="60"/>
        <w:ind w:left="397"/>
      </w:pPr>
      <w:r>
        <w:rPr>
          <w:rFonts w:ascii="Calibri" w:hAnsi="Calibri"/>
          <w:color w:val="1F2A37"/>
          <w:sz w:val="22"/>
        </w:rPr>
        <w:t>•  Doğrulama: Cihazın belirlenmiş limitler içinde olduğunun teyidi.</w:t>
      </w:r>
    </w:p>
    <w:p>
      <w:pPr>
        <w:pStyle w:val="ListeParagraf"/>
        <w:spacing w:after="60"/>
        <w:ind w:left="397"/>
      </w:pPr>
      <w:r>
        <w:rPr>
          <w:rFonts w:ascii="Calibri" w:hAnsi="Calibri"/>
          <w:color w:val="1F2A37"/>
          <w:sz w:val="22"/>
        </w:rPr>
        <w:t>•  İzlenebilirlik: Ölçüm zincirinin uluslararası referansa bağlanması.</w:t>
      </w:r>
    </w:p>
    <w:p>
      <w:pPr>
        <w:pStyle w:val="ListeParagraf"/>
        <w:spacing w:after="60"/>
        <w:ind w:left="397"/>
      </w:pPr>
      <w:r>
        <w:rPr>
          <w:rFonts w:ascii="Calibri" w:hAnsi="Calibri"/>
          <w:color w:val="1F2A37"/>
          <w:sz w:val="22"/>
        </w:rPr>
        <w:t>•  Belirsizlik: Ölçüm sonucunda kalan kuşku payı (k=2 ile %95 güven).</w:t>
      </w:r>
    </w:p>
    <w:p>
      <w:pPr>
        <w:pStyle w:val="ListeParagraf"/>
        <w:spacing w:after="60"/>
        <w:ind w:left="397"/>
      </w:pPr>
      <w:r>
        <w:rPr>
          <w:rFonts w:ascii="Calibri" w:hAnsi="Calibri"/>
          <w:color w:val="1F2A37"/>
          <w:sz w:val="22"/>
        </w:rPr>
        <w:t>•  Toleranslama: Kabul edilen sapma aralığı.</w:t>
      </w:r>
    </w:p>
    <w:p>
      <w:pPr>
        <w:pStyle w:val="ListeParagraf"/>
        <w:spacing w:after="60"/>
        <w:ind w:left="397"/>
      </w:pPr>
      <w:r>
        <w:rPr>
          <w:rFonts w:ascii="Calibri" w:hAnsi="Calibri"/>
          <w:color w:val="1F2A37"/>
          <w:sz w:val="22"/>
        </w:rPr>
        <w:t>•  Sertifika: Kalibrasyon sonucunu içeren rapor.</w:t>
      </w:r>
    </w:p>
    <w:p>
      <w:pPr>
        <w:pStyle w:val="ListeParagraf"/>
        <w:spacing w:after="60"/>
        <w:ind w:left="397"/>
      </w:pPr>
      <w:r>
        <w:rPr>
          <w:rFonts w:ascii="Calibri" w:hAnsi="Calibri"/>
          <w:color w:val="1F2A37"/>
          <w:sz w:val="22"/>
        </w:rPr>
        <w:t>•  Etiket: Cihazın son kalibrasyon ve sonraki tarihini gösteren işaret.</w:t>
      </w:r>
    </w:p>
    <w:p>
      <w:pPr>
        <w:pStyle w:val="ListeParagraf"/>
        <w:spacing w:after="60"/>
        <w:ind w:left="397"/>
      </w:pPr>
      <w:r>
        <w:rPr>
          <w:rFonts w:ascii="Calibri" w:hAnsi="Calibri"/>
          <w:color w:val="1F2A37"/>
          <w:sz w:val="22"/>
        </w:rPr>
        <w:t>•  Akreditasyon: Kalibrasyon laboratuvarının yetkinliğinin onayı (TÜRKAK).</w:t>
      </w:r>
    </w:p>
    <w:p>
      <w:pPr>
        <w:pStyle w:val="ListeParagraf"/>
        <w:spacing w:after="60"/>
        <w:ind w:left="397"/>
      </w:pPr>
      <w:r>
        <w:rPr>
          <w:rFonts w:ascii="Calibri" w:hAnsi="Calibri"/>
          <w:color w:val="1F2A37"/>
          <w:sz w:val="22"/>
        </w:rPr>
        <w:t>•  Referans Standart: Daha yüksek doğruluklu, ana karşılaştırma cihazı.</w:t>
      </w:r>
    </w:p>
    <w:p>
      <w:pPr>
        <w:pStyle w:val="ListeParagraf"/>
        <w:spacing w:after="60"/>
        <w:ind w:left="397"/>
      </w:pPr>
      <w:r>
        <w:rPr>
          <w:rFonts w:ascii="Calibri" w:hAnsi="Calibri"/>
          <w:color w:val="1F2A37"/>
          <w:sz w:val="22"/>
        </w:rPr>
        <w:t>•  Periyot: Cihazın iki kalibrasyon arasındaki süresi.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Antik çağ — Standart birimler (örn. arşın, libra) geliştirildi.</w:t>
      </w:r>
    </w:p>
    <w:p>
      <w:pPr>
        <w:pStyle w:val="ListeParagraf"/>
        <w:spacing w:after="60"/>
        <w:ind w:left="397"/>
      </w:pPr>
      <w:r>
        <w:rPr>
          <w:rFonts w:ascii="Calibri" w:hAnsi="Calibri"/>
          <w:color w:val="1F2A37"/>
          <w:sz w:val="22"/>
        </w:rPr>
        <w:t>•  1875 — Metre Konvansiyonu imzalandı.</w:t>
      </w:r>
    </w:p>
    <w:p>
      <w:pPr>
        <w:pStyle w:val="ListeParagraf"/>
        <w:spacing w:after="60"/>
        <w:ind w:left="397"/>
      </w:pPr>
      <w:r>
        <w:rPr>
          <w:rFonts w:ascii="Calibri" w:hAnsi="Calibri"/>
          <w:color w:val="1F2A37"/>
          <w:sz w:val="22"/>
        </w:rPr>
        <w:t>•  1947 — SI Birimler Sistemi (Système International) yaygınlaşmaya başladı.</w:t>
      </w:r>
    </w:p>
    <w:p>
      <w:pPr>
        <w:pStyle w:val="ListeParagraf"/>
        <w:spacing w:after="60"/>
        <w:ind w:left="397"/>
      </w:pPr>
      <w:r>
        <w:rPr>
          <w:rFonts w:ascii="Calibri" w:hAnsi="Calibri"/>
          <w:color w:val="1F2A37"/>
          <w:sz w:val="22"/>
        </w:rPr>
        <w:t>•  1999 — ISO 17025 laboratuvar yetkinliği yayımlandı.</w:t>
      </w:r>
    </w:p>
    <w:p>
      <w:pPr>
        <w:pStyle w:val="ListeParagraf"/>
        <w:spacing w:after="60"/>
        <w:ind w:left="397"/>
      </w:pPr>
      <w:r>
        <w:rPr>
          <w:rFonts w:ascii="Calibri" w:hAnsi="Calibri"/>
          <w:color w:val="1F2A37"/>
          <w:sz w:val="22"/>
        </w:rPr>
        <w:t>•  2019 — SI birimleri tamamen sabitler üzerinden yeniden tanımlandı.</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Kalibrasyon'in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İzlenebilirlik</w:t>
      </w:r>
    </w:p>
    <w:p>
      <w:pPr>
        <w:spacing w:before="0" w:after="120"/>
      </w:pPr>
      <w:r>
        <w:rPr>
          <w:rFonts w:ascii="Calibri" w:hAnsi="Calibri"/>
          <w:sz w:val="22"/>
        </w:rPr>
        <w:t>Ölçüm sonucu uluslararası referansa kadar zincirleme bağlanabilmelidir.</w:t>
      </w:r>
    </w:p>
    <w:p>
      <w:pPr>
        <w:pStyle w:val="Balk2"/>
        <w:spacing w:before="200" w:after="160"/>
      </w:pPr>
      <w:r>
        <w:rPr>
          <w:rFonts w:ascii="Calibri" w:hAnsi="Calibri"/>
        </w:rPr>
        <w:t>3.2  Belirsizlik</w:t>
      </w:r>
    </w:p>
    <w:p>
      <w:pPr>
        <w:spacing w:before="0" w:after="120"/>
      </w:pPr>
      <w:r>
        <w:rPr>
          <w:rFonts w:ascii="Calibri" w:hAnsi="Calibri"/>
          <w:sz w:val="22"/>
        </w:rPr>
        <w:t>Her ölçüm belirsizlik içerir; belirsizlik bilinmelidir.</w:t>
      </w:r>
    </w:p>
    <w:p>
      <w:pPr>
        <w:pStyle w:val="Balk2"/>
        <w:spacing w:before="200" w:after="160"/>
      </w:pPr>
      <w:r>
        <w:rPr>
          <w:rFonts w:ascii="Calibri" w:hAnsi="Calibri"/>
        </w:rPr>
        <w:t>3.3  Periyodiklik</w:t>
      </w:r>
    </w:p>
    <w:p>
      <w:pPr>
        <w:spacing w:before="0" w:after="120"/>
      </w:pPr>
      <w:r>
        <w:rPr>
          <w:rFonts w:ascii="Calibri" w:hAnsi="Calibri"/>
          <w:sz w:val="22"/>
        </w:rPr>
        <w:t>Cihazlar belirli aralıklarla kalibre edilmelidir.</w:t>
      </w:r>
    </w:p>
    <w:p>
      <w:pPr>
        <w:pStyle w:val="Balk2"/>
        <w:spacing w:before="200" w:after="160"/>
      </w:pPr>
      <w:r>
        <w:rPr>
          <w:rFonts w:ascii="Calibri" w:hAnsi="Calibri"/>
        </w:rPr>
        <w:t>3.4  Çevre Şartları</w:t>
      </w:r>
    </w:p>
    <w:p>
      <w:pPr>
        <w:spacing w:before="0" w:after="120"/>
      </w:pPr>
      <w:r>
        <w:rPr>
          <w:rFonts w:ascii="Calibri" w:hAnsi="Calibri"/>
          <w:sz w:val="22"/>
        </w:rPr>
        <w:t>Sıcaklık, nem, titreşim ölçümü etkiler.</w:t>
      </w:r>
    </w:p>
    <w:p>
      <w:pPr>
        <w:pStyle w:val="Balk2"/>
        <w:spacing w:before="200" w:after="160"/>
      </w:pPr>
      <w:r>
        <w:rPr>
          <w:rFonts w:ascii="Calibri" w:hAnsi="Calibri"/>
        </w:rPr>
        <w:t>3.5  Belge Yönetimi</w:t>
      </w:r>
    </w:p>
    <w:p>
      <w:pPr>
        <w:spacing w:before="0" w:after="120"/>
      </w:pPr>
      <w:r>
        <w:rPr>
          <w:rFonts w:ascii="Calibri" w:hAnsi="Calibri"/>
          <w:sz w:val="22"/>
        </w:rPr>
        <w:t>Sertifikalar ve etiketler güncel olmalıdır.</w:t>
      </w:r>
    </w:p>
    <w:p>
      <w:pPr>
        <w:pStyle w:val="Balk2"/>
        <w:spacing w:before="200" w:after="160"/>
      </w:pPr>
      <w:r>
        <w:rPr>
          <w:rFonts w:ascii="Calibri" w:hAnsi="Calibri"/>
        </w:rPr>
        <w:t>3.6  Kullanım Öncesi Kontrol</w:t>
      </w:r>
    </w:p>
    <w:p>
      <w:pPr>
        <w:spacing w:before="0" w:after="120"/>
      </w:pPr>
      <w:r>
        <w:rPr>
          <w:rFonts w:ascii="Calibri" w:hAnsi="Calibri"/>
          <w:sz w:val="22"/>
        </w:rPr>
        <w:t>Kritik kullanım öncesi doğrulama yapılmalıdır.</w:t>
      </w:r>
    </w:p>
    <w:p>
      <w:pPr>
        <w:pStyle w:val="Balk2"/>
        <w:spacing w:before="200" w:after="160"/>
      </w:pPr>
      <w:r>
        <w:rPr>
          <w:rFonts w:ascii="Calibri" w:hAnsi="Calibri"/>
        </w:rPr>
        <w:t>3.7  Yetkin Personel</w:t>
      </w:r>
    </w:p>
    <w:p>
      <w:pPr>
        <w:spacing w:before="0" w:after="120"/>
      </w:pPr>
      <w:r>
        <w:rPr>
          <w:rFonts w:ascii="Calibri" w:hAnsi="Calibri"/>
          <w:sz w:val="22"/>
        </w:rPr>
        <w:t>Kalibrasyonu eğitimli personel yapmalıdır.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Kalibrasyon</w:t>
            </w:r>
          </w:p>
        </w:tc>
        <w:tc>
          <w:tcPr>
            <w:tcW w:type="dxa" w:w="4513"/>
            <w:shd w:fill="F4F6F9"/>
          </w:tcPr>
          <w:p>
            <w:r/>
            <w:r>
              <w:rPr>
                <w:rFonts w:ascii="Calibri" w:hAnsi="Calibri"/>
                <w:color w:val="1F2A37"/>
                <w:sz w:val="20"/>
              </w:rPr>
              <w:t>Bilinen referans ile karşılaştırma sonucu cihaz sapmasının belirlenmesi.</w:t>
            </w:r>
          </w:p>
        </w:tc>
      </w:tr>
      <w:tr>
        <w:tc>
          <w:tcPr>
            <w:tcW w:type="dxa" w:w="4513"/>
          </w:tcPr>
          <w:p>
            <w:r/>
            <w:r>
              <w:rPr>
                <w:rFonts w:ascii="Calibri" w:hAnsi="Calibri"/>
                <w:color w:val="1F2A37"/>
                <w:sz w:val="20"/>
              </w:rPr>
              <w:t>Doğrulama</w:t>
            </w:r>
          </w:p>
        </w:tc>
        <w:tc>
          <w:tcPr>
            <w:tcW w:type="dxa" w:w="4513"/>
          </w:tcPr>
          <w:p>
            <w:r/>
            <w:r>
              <w:rPr>
                <w:rFonts w:ascii="Calibri" w:hAnsi="Calibri"/>
                <w:color w:val="1F2A37"/>
                <w:sz w:val="20"/>
              </w:rPr>
              <w:t>Cihazın belirlenmiş limitler içinde olduğunun teyidi.</w:t>
            </w:r>
          </w:p>
        </w:tc>
      </w:tr>
      <w:tr>
        <w:tc>
          <w:tcPr>
            <w:tcW w:type="dxa" w:w="4513"/>
            <w:shd w:fill="F4F6F9"/>
          </w:tcPr>
          <w:p>
            <w:r/>
            <w:r>
              <w:rPr>
                <w:rFonts w:ascii="Calibri" w:hAnsi="Calibri"/>
                <w:color w:val="1F2A37"/>
                <w:sz w:val="20"/>
              </w:rPr>
              <w:t>İzlenebilirlik</w:t>
            </w:r>
          </w:p>
        </w:tc>
        <w:tc>
          <w:tcPr>
            <w:tcW w:type="dxa" w:w="4513"/>
            <w:shd w:fill="F4F6F9"/>
          </w:tcPr>
          <w:p>
            <w:r/>
            <w:r>
              <w:rPr>
                <w:rFonts w:ascii="Calibri" w:hAnsi="Calibri"/>
                <w:color w:val="1F2A37"/>
                <w:sz w:val="20"/>
              </w:rPr>
              <w:t>Ölçüm zincirinin uluslararası referansa bağlanması.</w:t>
            </w:r>
          </w:p>
        </w:tc>
      </w:tr>
      <w:tr>
        <w:tc>
          <w:tcPr>
            <w:tcW w:type="dxa" w:w="4513"/>
          </w:tcPr>
          <w:p>
            <w:r/>
            <w:r>
              <w:rPr>
                <w:rFonts w:ascii="Calibri" w:hAnsi="Calibri"/>
                <w:color w:val="1F2A37"/>
                <w:sz w:val="20"/>
              </w:rPr>
              <w:t>Belirsizlik</w:t>
            </w:r>
          </w:p>
        </w:tc>
        <w:tc>
          <w:tcPr>
            <w:tcW w:type="dxa" w:w="4513"/>
          </w:tcPr>
          <w:p>
            <w:r/>
            <w:r>
              <w:rPr>
                <w:rFonts w:ascii="Calibri" w:hAnsi="Calibri"/>
                <w:color w:val="1F2A37"/>
                <w:sz w:val="20"/>
              </w:rPr>
              <w:t>Ölçüm sonucunda kalan kuşku payı (k=2 ile %95 güven).</w:t>
            </w:r>
          </w:p>
        </w:tc>
      </w:tr>
      <w:tr>
        <w:tc>
          <w:tcPr>
            <w:tcW w:type="dxa" w:w="4513"/>
            <w:shd w:fill="F4F6F9"/>
          </w:tcPr>
          <w:p>
            <w:r/>
            <w:r>
              <w:rPr>
                <w:rFonts w:ascii="Calibri" w:hAnsi="Calibri"/>
                <w:color w:val="1F2A37"/>
                <w:sz w:val="20"/>
              </w:rPr>
              <w:t>Toleranslama</w:t>
            </w:r>
          </w:p>
        </w:tc>
        <w:tc>
          <w:tcPr>
            <w:tcW w:type="dxa" w:w="4513"/>
            <w:shd w:fill="F4F6F9"/>
          </w:tcPr>
          <w:p>
            <w:r/>
            <w:r>
              <w:rPr>
                <w:rFonts w:ascii="Calibri" w:hAnsi="Calibri"/>
                <w:color w:val="1F2A37"/>
                <w:sz w:val="20"/>
              </w:rPr>
              <w:t>Kabul edilen sapma aralığı.</w:t>
            </w:r>
          </w:p>
        </w:tc>
      </w:tr>
      <w:tr>
        <w:tc>
          <w:tcPr>
            <w:tcW w:type="dxa" w:w="4513"/>
          </w:tcPr>
          <w:p>
            <w:r/>
            <w:r>
              <w:rPr>
                <w:rFonts w:ascii="Calibri" w:hAnsi="Calibri"/>
                <w:color w:val="1F2A37"/>
                <w:sz w:val="20"/>
              </w:rPr>
              <w:t>Sertifika</w:t>
            </w:r>
          </w:p>
        </w:tc>
        <w:tc>
          <w:tcPr>
            <w:tcW w:type="dxa" w:w="4513"/>
          </w:tcPr>
          <w:p>
            <w:r/>
            <w:r>
              <w:rPr>
                <w:rFonts w:ascii="Calibri" w:hAnsi="Calibri"/>
                <w:color w:val="1F2A37"/>
                <w:sz w:val="20"/>
              </w:rPr>
              <w:t>Kalibrasyon sonucunu içeren rapor.</w:t>
            </w:r>
          </w:p>
        </w:tc>
      </w:tr>
      <w:tr>
        <w:tc>
          <w:tcPr>
            <w:tcW w:type="dxa" w:w="4513"/>
            <w:shd w:fill="F4F6F9"/>
          </w:tcPr>
          <w:p>
            <w:r/>
            <w:r>
              <w:rPr>
                <w:rFonts w:ascii="Calibri" w:hAnsi="Calibri"/>
                <w:color w:val="1F2A37"/>
                <w:sz w:val="20"/>
              </w:rPr>
              <w:t>Etiket</w:t>
            </w:r>
          </w:p>
        </w:tc>
        <w:tc>
          <w:tcPr>
            <w:tcW w:type="dxa" w:w="4513"/>
            <w:shd w:fill="F4F6F9"/>
          </w:tcPr>
          <w:p>
            <w:r/>
            <w:r>
              <w:rPr>
                <w:rFonts w:ascii="Calibri" w:hAnsi="Calibri"/>
                <w:color w:val="1F2A37"/>
                <w:sz w:val="20"/>
              </w:rPr>
              <w:t>Cihazın son kalibrasyon ve sonraki tarihini gösteren işaret.</w:t>
            </w:r>
          </w:p>
        </w:tc>
      </w:tr>
      <w:tr>
        <w:tc>
          <w:tcPr>
            <w:tcW w:type="dxa" w:w="4513"/>
          </w:tcPr>
          <w:p>
            <w:r/>
            <w:r>
              <w:rPr>
                <w:rFonts w:ascii="Calibri" w:hAnsi="Calibri"/>
                <w:color w:val="1F2A37"/>
                <w:sz w:val="20"/>
              </w:rPr>
              <w:t>Akreditasyon</w:t>
            </w:r>
          </w:p>
        </w:tc>
        <w:tc>
          <w:tcPr>
            <w:tcW w:type="dxa" w:w="4513"/>
          </w:tcPr>
          <w:p>
            <w:r/>
            <w:r>
              <w:rPr>
                <w:rFonts w:ascii="Calibri" w:hAnsi="Calibri"/>
                <w:color w:val="1F2A37"/>
                <w:sz w:val="20"/>
              </w:rPr>
              <w:t>Kalibrasyon laboratuvarının yetkinliğinin onayı (TÜRKAK).</w:t>
            </w:r>
          </w:p>
        </w:tc>
      </w:tr>
      <w:tr>
        <w:tc>
          <w:tcPr>
            <w:tcW w:type="dxa" w:w="4513"/>
            <w:shd w:fill="F4F6F9"/>
          </w:tcPr>
          <w:p>
            <w:r/>
            <w:r>
              <w:rPr>
                <w:rFonts w:ascii="Calibri" w:hAnsi="Calibri"/>
                <w:color w:val="1F2A37"/>
                <w:sz w:val="20"/>
              </w:rPr>
              <w:t>Referans Standart</w:t>
            </w:r>
          </w:p>
        </w:tc>
        <w:tc>
          <w:tcPr>
            <w:tcW w:type="dxa" w:w="4513"/>
            <w:shd w:fill="F4F6F9"/>
          </w:tcPr>
          <w:p>
            <w:r/>
            <w:r>
              <w:rPr>
                <w:rFonts w:ascii="Calibri" w:hAnsi="Calibri"/>
                <w:color w:val="1F2A37"/>
                <w:sz w:val="20"/>
              </w:rPr>
              <w:t>Daha yüksek doğruluklu, ana karşılaştırma cihazı.</w:t>
            </w:r>
          </w:p>
        </w:tc>
      </w:tr>
      <w:tr>
        <w:tc>
          <w:tcPr>
            <w:tcW w:type="dxa" w:w="4513"/>
          </w:tcPr>
          <w:p>
            <w:r/>
            <w:r>
              <w:rPr>
                <w:rFonts w:ascii="Calibri" w:hAnsi="Calibri"/>
                <w:color w:val="1F2A37"/>
                <w:sz w:val="20"/>
              </w:rPr>
              <w:t>Periyot</w:t>
            </w:r>
          </w:p>
        </w:tc>
        <w:tc>
          <w:tcPr>
            <w:tcW w:type="dxa" w:w="4513"/>
          </w:tcPr>
          <w:p>
            <w:r/>
            <w:r>
              <w:rPr>
                <w:rFonts w:ascii="Calibri" w:hAnsi="Calibri"/>
                <w:color w:val="1F2A37"/>
                <w:sz w:val="20"/>
              </w:rPr>
              <w:t>Cihazın iki kalibrasyon arasındaki süresi.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