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ISO 50001:2018</w:t>
      </w:r>
    </w:p>
    <w:p>
      <w:pPr>
        <w:spacing w:before="0" w:after="80"/>
        <w:jc w:val="left"/>
      </w:pPr>
      <w:r>
        <w:rPr>
          <w:rFonts w:ascii="Calibri" w:hAnsi="Calibri"/>
          <w:color w:val="1F2A37"/>
          <w:sz w:val="40"/>
        </w:rPr>
        <w:t>Enerji Yönetim Sistemi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BE012</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Tüm çalışanlar, enerji yöneticileri, bakım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ISO 50001:2018 standardı, kuruluşumuzun Enerji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"Enerjinin en temiz kilovatsaati, tüketilmeyen kilovatsaattir."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ISO 50001:2018 standardı, kuruluşumuzun Enerji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ISO 50001:2018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ISO 50001:2018, Enerji Yönetim Sistemi alanında Tüm çalışanlar, enerji yöneticileri, bakım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ISO 50001:2018, kuruluşların Enerji Yönetim Sistemi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Enerji Performansı: Enerji verimliliği, kullanımı ve tüketimi sonucu.</w:t>
      </w:r>
    </w:p>
    <w:p>
      <w:pPr>
        <w:pStyle w:val="ListeParagraf"/>
        <w:spacing w:after="60"/>
        <w:ind w:left="397"/>
      </w:pPr>
      <w:r>
        <w:rPr>
          <w:rFonts w:ascii="Calibri" w:hAnsi="Calibri"/>
          <w:color w:val="1F2A37"/>
          <w:sz w:val="22"/>
        </w:rPr>
        <w:t>•  EnPI: Energy Performance Indicator — enerji performans göstergesi.</w:t>
      </w:r>
    </w:p>
    <w:p>
      <w:pPr>
        <w:pStyle w:val="ListeParagraf"/>
        <w:spacing w:after="60"/>
        <w:ind w:left="397"/>
      </w:pPr>
      <w:r>
        <w:rPr>
          <w:rFonts w:ascii="Calibri" w:hAnsi="Calibri"/>
          <w:color w:val="1F2A37"/>
          <w:sz w:val="22"/>
        </w:rPr>
        <w:t>•  Enerji Baz Çizgisi (EnB): Karşılaştırma referansı.</w:t>
      </w:r>
    </w:p>
    <w:p>
      <w:pPr>
        <w:pStyle w:val="ListeParagraf"/>
        <w:spacing w:after="60"/>
        <w:ind w:left="397"/>
      </w:pPr>
      <w:r>
        <w:rPr>
          <w:rFonts w:ascii="Calibri" w:hAnsi="Calibri"/>
          <w:color w:val="1F2A37"/>
          <w:sz w:val="22"/>
        </w:rPr>
        <w:t>•  Enerji İncelemesi: Enerji kullanımının analiz edilmesi.</w:t>
      </w:r>
    </w:p>
    <w:p>
      <w:pPr>
        <w:pStyle w:val="ListeParagraf"/>
        <w:spacing w:after="60"/>
        <w:ind w:left="397"/>
      </w:pPr>
      <w:r>
        <w:rPr>
          <w:rFonts w:ascii="Calibri" w:hAnsi="Calibri"/>
          <w:color w:val="1F2A37"/>
          <w:sz w:val="22"/>
        </w:rPr>
        <w:t>•  SEU: Significant Energy Use — önemli enerji kullanımları.</w:t>
      </w:r>
    </w:p>
    <w:p>
      <w:pPr>
        <w:pStyle w:val="ListeParagraf"/>
        <w:spacing w:after="60"/>
        <w:ind w:left="397"/>
      </w:pPr>
      <w:r>
        <w:rPr>
          <w:rFonts w:ascii="Calibri" w:hAnsi="Calibri"/>
          <w:color w:val="1F2A37"/>
          <w:sz w:val="22"/>
        </w:rPr>
        <w:t>•  Enerji Politikası: Üst yönetim taahhüdü.</w:t>
      </w:r>
    </w:p>
    <w:p>
      <w:pPr>
        <w:pStyle w:val="ListeParagraf"/>
        <w:spacing w:after="60"/>
        <w:ind w:left="397"/>
      </w:pPr>
      <w:r>
        <w:rPr>
          <w:rFonts w:ascii="Calibri" w:hAnsi="Calibri"/>
          <w:color w:val="1F2A37"/>
          <w:sz w:val="22"/>
        </w:rPr>
        <w:t>•  Enerji Hedefi: Ölçülebilir performans hedefi.</w:t>
      </w:r>
    </w:p>
    <w:p>
      <w:pPr>
        <w:pStyle w:val="ListeParagraf"/>
        <w:spacing w:after="60"/>
        <w:ind w:left="397"/>
      </w:pPr>
      <w:r>
        <w:rPr>
          <w:rFonts w:ascii="Calibri" w:hAnsi="Calibri"/>
          <w:color w:val="1F2A37"/>
          <w:sz w:val="22"/>
        </w:rPr>
        <w:t>•  Enerji Eylem Planı: Hedeflere ulaşma yol haritası.</w:t>
      </w:r>
    </w:p>
    <w:p>
      <w:pPr>
        <w:pStyle w:val="ListeParagraf"/>
        <w:spacing w:after="60"/>
        <w:ind w:left="397"/>
      </w:pPr>
      <w:r>
        <w:rPr>
          <w:rFonts w:ascii="Calibri" w:hAnsi="Calibri"/>
          <w:color w:val="1F2A37"/>
          <w:sz w:val="22"/>
        </w:rPr>
        <w:t>•  Enerji Tasarrufu: Aynı işin daha az enerji ile yapılması.</w:t>
      </w:r>
    </w:p>
    <w:p>
      <w:pPr>
        <w:pStyle w:val="ListeParagraf"/>
        <w:spacing w:after="60"/>
        <w:ind w:left="397"/>
      </w:pPr>
      <w:r>
        <w:rPr>
          <w:rFonts w:ascii="Calibri" w:hAnsi="Calibri"/>
          <w:color w:val="1F2A37"/>
          <w:sz w:val="22"/>
        </w:rPr>
        <w:t>•  Karbon Eşdeğeri: Sera gazı salımının CO2 cinsinden ifadesi.</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2011 — ISO 50001 ilk sürümü.</w:t>
      </w:r>
    </w:p>
    <w:p>
      <w:pPr>
        <w:pStyle w:val="ListeParagraf"/>
        <w:spacing w:after="60"/>
        <w:ind w:left="397"/>
      </w:pPr>
      <w:r>
        <w:rPr>
          <w:rFonts w:ascii="Calibri" w:hAnsi="Calibri"/>
          <w:color w:val="1F2A37"/>
          <w:sz w:val="22"/>
        </w:rPr>
        <w:t>•  2018 — Annex SL uyumlu revizyon.</w:t>
      </w:r>
    </w:p>
    <w:p>
      <w:pPr>
        <w:pStyle w:val="ListeParagraf"/>
        <w:spacing w:after="60"/>
        <w:ind w:left="397"/>
      </w:pPr>
      <w:r>
        <w:rPr>
          <w:rFonts w:ascii="Calibri" w:hAnsi="Calibri"/>
          <w:color w:val="1F2A37"/>
          <w:sz w:val="22"/>
        </w:rPr>
        <w:t>•  Türkiye — 5627 sayılı Enerji Verimliliği Kanunu uyarınca yıllık tüketimi yüksek tesisler için ISO 50001 teşvik edilir.</w:t>
      </w:r>
    </w:p>
    <w:p>
      <w:pPr>
        <w:pStyle w:val="ListeParagraf"/>
        <w:spacing w:after="60"/>
        <w:ind w:left="397"/>
      </w:pPr>
      <w:r>
        <w:rPr>
          <w:rFonts w:ascii="Calibri" w:hAnsi="Calibri"/>
          <w:color w:val="1F2A37"/>
          <w:sz w:val="22"/>
        </w:rPr>
        <w:t>•  Bugün — İklim politikaları kapsamında giderek zorunlu hâle gelmektedir.</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ISO 50001:2018'in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Enerji Performansı Odağı</w:t>
      </w:r>
    </w:p>
    <w:p>
      <w:pPr>
        <w:spacing w:before="0" w:after="120"/>
      </w:pPr>
      <w:r>
        <w:rPr>
          <w:rFonts w:ascii="Calibri" w:hAnsi="Calibri"/>
          <w:sz w:val="22"/>
        </w:rPr>
        <w:t>Sistem, somut enerji performansı iyileşmesi sağlamak için kurulur.</w:t>
      </w:r>
    </w:p>
    <w:p>
      <w:pPr>
        <w:pStyle w:val="Balk2"/>
        <w:spacing w:before="200" w:after="160"/>
      </w:pPr>
      <w:r>
        <w:rPr>
          <w:rFonts w:ascii="Calibri" w:hAnsi="Calibri"/>
        </w:rPr>
        <w:t>3.2  Veriyle Yönetim</w:t>
      </w:r>
    </w:p>
    <w:p>
      <w:pPr>
        <w:spacing w:before="0" w:after="120"/>
      </w:pPr>
      <w:r>
        <w:rPr>
          <w:rFonts w:ascii="Calibri" w:hAnsi="Calibri"/>
          <w:sz w:val="22"/>
        </w:rPr>
        <w:t>Enerji incelemesi, baz çizgi, EnPI ile yönetim.</w:t>
      </w:r>
    </w:p>
    <w:p>
      <w:pPr>
        <w:pStyle w:val="Balk2"/>
        <w:spacing w:before="200" w:after="160"/>
      </w:pPr>
      <w:r>
        <w:rPr>
          <w:rFonts w:ascii="Calibri" w:hAnsi="Calibri"/>
        </w:rPr>
        <w:t>3.3  Liderlik</w:t>
      </w:r>
    </w:p>
    <w:p>
      <w:pPr>
        <w:spacing w:before="0" w:after="120"/>
      </w:pPr>
      <w:r>
        <w:rPr>
          <w:rFonts w:ascii="Calibri" w:hAnsi="Calibri"/>
          <w:sz w:val="22"/>
        </w:rPr>
        <w:t>Üst yönetimin enerji politikasına somut sahipliği.</w:t>
      </w:r>
    </w:p>
    <w:p>
      <w:pPr>
        <w:pStyle w:val="Balk2"/>
        <w:spacing w:before="200" w:after="160"/>
      </w:pPr>
      <w:r>
        <w:rPr>
          <w:rFonts w:ascii="Calibri" w:hAnsi="Calibri"/>
        </w:rPr>
        <w:t>3.4  Süreç Yaklaşımı</w:t>
      </w:r>
    </w:p>
    <w:p>
      <w:pPr>
        <w:spacing w:before="0" w:after="120"/>
      </w:pPr>
      <w:r>
        <w:rPr>
          <w:rFonts w:ascii="Calibri" w:hAnsi="Calibri"/>
          <w:sz w:val="22"/>
        </w:rPr>
        <w:t>Tüm enerji tüketim noktaları süreçler bağlamında ele alınır.</w:t>
      </w:r>
    </w:p>
    <w:p>
      <w:pPr>
        <w:pStyle w:val="Balk2"/>
        <w:spacing w:before="200" w:after="160"/>
      </w:pPr>
      <w:r>
        <w:rPr>
          <w:rFonts w:ascii="Calibri" w:hAnsi="Calibri"/>
        </w:rPr>
        <w:t>3.5  Sürekli İyileştirme</w:t>
      </w:r>
    </w:p>
    <w:p>
      <w:pPr>
        <w:spacing w:before="0" w:after="120"/>
      </w:pPr>
      <w:r>
        <w:rPr>
          <w:rFonts w:ascii="Calibri" w:hAnsi="Calibri"/>
          <w:sz w:val="22"/>
        </w:rPr>
        <w:t>PUKÖ döngüsü ile sistematik gelişim.</w:t>
      </w:r>
    </w:p>
    <w:p>
      <w:pPr>
        <w:pStyle w:val="Balk2"/>
        <w:spacing w:before="200" w:after="160"/>
      </w:pPr>
      <w:r>
        <w:rPr>
          <w:rFonts w:ascii="Calibri" w:hAnsi="Calibri"/>
        </w:rPr>
        <w:t>3.6  Yasal Uyum</w:t>
      </w:r>
    </w:p>
    <w:p>
      <w:pPr>
        <w:spacing w:before="0" w:after="120"/>
      </w:pPr>
      <w:r>
        <w:rPr>
          <w:rFonts w:ascii="Calibri" w:hAnsi="Calibri"/>
          <w:sz w:val="22"/>
        </w:rPr>
        <w:t>Enerji ve çevre mevzuatına uyum.</w:t>
      </w:r>
    </w:p>
    <w:p>
      <w:pPr>
        <w:pStyle w:val="Balk2"/>
        <w:spacing w:before="200" w:after="160"/>
      </w:pPr>
      <w:r>
        <w:rPr>
          <w:rFonts w:ascii="Calibri" w:hAnsi="Calibri"/>
        </w:rPr>
        <w:t>3.7  Yatırım Kararları</w:t>
      </w:r>
    </w:p>
    <w:p>
      <w:pPr>
        <w:spacing w:before="0" w:after="120"/>
      </w:pPr>
      <w:r>
        <w:rPr>
          <w:rFonts w:ascii="Calibri" w:hAnsi="Calibri"/>
          <w:sz w:val="22"/>
        </w:rPr>
        <w:t>Enerji performansı tedarik ve yatırım kararlarına entegre edilir.</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Enerji Performansı</w:t>
            </w:r>
          </w:p>
        </w:tc>
        <w:tc>
          <w:tcPr>
            <w:tcW w:type="dxa" w:w="4513"/>
            <w:shd w:fill="F4F6F9"/>
          </w:tcPr>
          <w:p>
            <w:r/>
            <w:r>
              <w:rPr>
                <w:rFonts w:ascii="Calibri" w:hAnsi="Calibri"/>
                <w:color w:val="1F2A37"/>
                <w:sz w:val="20"/>
              </w:rPr>
              <w:t>Enerji verimliliği, kullanımı ve tüketimi sonucu.</w:t>
            </w:r>
          </w:p>
        </w:tc>
      </w:tr>
      <w:tr>
        <w:tc>
          <w:tcPr>
            <w:tcW w:type="dxa" w:w="4513"/>
          </w:tcPr>
          <w:p>
            <w:r/>
            <w:r>
              <w:rPr>
                <w:rFonts w:ascii="Calibri" w:hAnsi="Calibri"/>
                <w:color w:val="1F2A37"/>
                <w:sz w:val="20"/>
              </w:rPr>
              <w:t>EnPI</w:t>
            </w:r>
          </w:p>
        </w:tc>
        <w:tc>
          <w:tcPr>
            <w:tcW w:type="dxa" w:w="4513"/>
          </w:tcPr>
          <w:p>
            <w:r/>
            <w:r>
              <w:rPr>
                <w:rFonts w:ascii="Calibri" w:hAnsi="Calibri"/>
                <w:color w:val="1F2A37"/>
                <w:sz w:val="20"/>
              </w:rPr>
              <w:t>Energy Performance Indicator — enerji performans göstergesi.</w:t>
            </w:r>
          </w:p>
        </w:tc>
      </w:tr>
      <w:tr>
        <w:tc>
          <w:tcPr>
            <w:tcW w:type="dxa" w:w="4513"/>
            <w:shd w:fill="F4F6F9"/>
          </w:tcPr>
          <w:p>
            <w:r/>
            <w:r>
              <w:rPr>
                <w:rFonts w:ascii="Calibri" w:hAnsi="Calibri"/>
                <w:color w:val="1F2A37"/>
                <w:sz w:val="20"/>
              </w:rPr>
              <w:t>Enerji Baz Çizgisi (EnB)</w:t>
            </w:r>
          </w:p>
        </w:tc>
        <w:tc>
          <w:tcPr>
            <w:tcW w:type="dxa" w:w="4513"/>
            <w:shd w:fill="F4F6F9"/>
          </w:tcPr>
          <w:p>
            <w:r/>
            <w:r>
              <w:rPr>
                <w:rFonts w:ascii="Calibri" w:hAnsi="Calibri"/>
                <w:color w:val="1F2A37"/>
                <w:sz w:val="20"/>
              </w:rPr>
              <w:t>Karşılaştırma referansı.</w:t>
            </w:r>
          </w:p>
        </w:tc>
      </w:tr>
      <w:tr>
        <w:tc>
          <w:tcPr>
            <w:tcW w:type="dxa" w:w="4513"/>
          </w:tcPr>
          <w:p>
            <w:r/>
            <w:r>
              <w:rPr>
                <w:rFonts w:ascii="Calibri" w:hAnsi="Calibri"/>
                <w:color w:val="1F2A37"/>
                <w:sz w:val="20"/>
              </w:rPr>
              <w:t>Enerji İncelemesi</w:t>
            </w:r>
          </w:p>
        </w:tc>
        <w:tc>
          <w:tcPr>
            <w:tcW w:type="dxa" w:w="4513"/>
          </w:tcPr>
          <w:p>
            <w:r/>
            <w:r>
              <w:rPr>
                <w:rFonts w:ascii="Calibri" w:hAnsi="Calibri"/>
                <w:color w:val="1F2A37"/>
                <w:sz w:val="20"/>
              </w:rPr>
              <w:t>Enerji kullanımının analiz edilmesi.</w:t>
            </w:r>
          </w:p>
        </w:tc>
      </w:tr>
      <w:tr>
        <w:tc>
          <w:tcPr>
            <w:tcW w:type="dxa" w:w="4513"/>
            <w:shd w:fill="F4F6F9"/>
          </w:tcPr>
          <w:p>
            <w:r/>
            <w:r>
              <w:rPr>
                <w:rFonts w:ascii="Calibri" w:hAnsi="Calibri"/>
                <w:color w:val="1F2A37"/>
                <w:sz w:val="20"/>
              </w:rPr>
              <w:t>SEU</w:t>
            </w:r>
          </w:p>
        </w:tc>
        <w:tc>
          <w:tcPr>
            <w:tcW w:type="dxa" w:w="4513"/>
            <w:shd w:fill="F4F6F9"/>
          </w:tcPr>
          <w:p>
            <w:r/>
            <w:r>
              <w:rPr>
                <w:rFonts w:ascii="Calibri" w:hAnsi="Calibri"/>
                <w:color w:val="1F2A37"/>
                <w:sz w:val="20"/>
              </w:rPr>
              <w:t>Significant Energy Use — önemli enerji kullanımları.</w:t>
            </w:r>
          </w:p>
        </w:tc>
      </w:tr>
      <w:tr>
        <w:tc>
          <w:tcPr>
            <w:tcW w:type="dxa" w:w="4513"/>
          </w:tcPr>
          <w:p>
            <w:r/>
            <w:r>
              <w:rPr>
                <w:rFonts w:ascii="Calibri" w:hAnsi="Calibri"/>
                <w:color w:val="1F2A37"/>
                <w:sz w:val="20"/>
              </w:rPr>
              <w:t>Enerji Politikası</w:t>
            </w:r>
          </w:p>
        </w:tc>
        <w:tc>
          <w:tcPr>
            <w:tcW w:type="dxa" w:w="4513"/>
          </w:tcPr>
          <w:p>
            <w:r/>
            <w:r>
              <w:rPr>
                <w:rFonts w:ascii="Calibri" w:hAnsi="Calibri"/>
                <w:color w:val="1F2A37"/>
                <w:sz w:val="20"/>
              </w:rPr>
              <w:t>Üst yönetim taahhüdü.</w:t>
            </w:r>
          </w:p>
        </w:tc>
      </w:tr>
      <w:tr>
        <w:tc>
          <w:tcPr>
            <w:tcW w:type="dxa" w:w="4513"/>
            <w:shd w:fill="F4F6F9"/>
          </w:tcPr>
          <w:p>
            <w:r/>
            <w:r>
              <w:rPr>
                <w:rFonts w:ascii="Calibri" w:hAnsi="Calibri"/>
                <w:color w:val="1F2A37"/>
                <w:sz w:val="20"/>
              </w:rPr>
              <w:t>Enerji Hedefi</w:t>
            </w:r>
          </w:p>
        </w:tc>
        <w:tc>
          <w:tcPr>
            <w:tcW w:type="dxa" w:w="4513"/>
            <w:shd w:fill="F4F6F9"/>
          </w:tcPr>
          <w:p>
            <w:r/>
            <w:r>
              <w:rPr>
                <w:rFonts w:ascii="Calibri" w:hAnsi="Calibri"/>
                <w:color w:val="1F2A37"/>
                <w:sz w:val="20"/>
              </w:rPr>
              <w:t>Ölçülebilir performans hedefi.</w:t>
            </w:r>
          </w:p>
        </w:tc>
      </w:tr>
      <w:tr>
        <w:tc>
          <w:tcPr>
            <w:tcW w:type="dxa" w:w="4513"/>
          </w:tcPr>
          <w:p>
            <w:r/>
            <w:r>
              <w:rPr>
                <w:rFonts w:ascii="Calibri" w:hAnsi="Calibri"/>
                <w:color w:val="1F2A37"/>
                <w:sz w:val="20"/>
              </w:rPr>
              <w:t>Enerji Eylem Planı</w:t>
            </w:r>
          </w:p>
        </w:tc>
        <w:tc>
          <w:tcPr>
            <w:tcW w:type="dxa" w:w="4513"/>
          </w:tcPr>
          <w:p>
            <w:r/>
            <w:r>
              <w:rPr>
                <w:rFonts w:ascii="Calibri" w:hAnsi="Calibri"/>
                <w:color w:val="1F2A37"/>
                <w:sz w:val="20"/>
              </w:rPr>
              <w:t>Hedeflere ulaşma yol haritası.</w:t>
            </w:r>
          </w:p>
        </w:tc>
      </w:tr>
      <w:tr>
        <w:tc>
          <w:tcPr>
            <w:tcW w:type="dxa" w:w="4513"/>
            <w:shd w:fill="F4F6F9"/>
          </w:tcPr>
          <w:p>
            <w:r/>
            <w:r>
              <w:rPr>
                <w:rFonts w:ascii="Calibri" w:hAnsi="Calibri"/>
                <w:color w:val="1F2A37"/>
                <w:sz w:val="20"/>
              </w:rPr>
              <w:t>Enerji Tasarrufu</w:t>
            </w:r>
          </w:p>
        </w:tc>
        <w:tc>
          <w:tcPr>
            <w:tcW w:type="dxa" w:w="4513"/>
            <w:shd w:fill="F4F6F9"/>
          </w:tcPr>
          <w:p>
            <w:r/>
            <w:r>
              <w:rPr>
                <w:rFonts w:ascii="Calibri" w:hAnsi="Calibri"/>
                <w:color w:val="1F2A37"/>
                <w:sz w:val="20"/>
              </w:rPr>
              <w:t>Aynı işin daha az enerji ile yapılması.</w:t>
            </w:r>
          </w:p>
        </w:tc>
      </w:tr>
      <w:tr>
        <w:tc>
          <w:tcPr>
            <w:tcW w:type="dxa" w:w="4513"/>
          </w:tcPr>
          <w:p>
            <w:r/>
            <w:r>
              <w:rPr>
                <w:rFonts w:ascii="Calibri" w:hAnsi="Calibri"/>
                <w:color w:val="1F2A37"/>
                <w:sz w:val="20"/>
              </w:rPr>
              <w:t>Karbon Eşdeğeri</w:t>
            </w:r>
          </w:p>
        </w:tc>
        <w:tc>
          <w:tcPr>
            <w:tcW w:type="dxa" w:w="4513"/>
          </w:tcPr>
          <w:p>
            <w:r/>
            <w:r>
              <w:rPr>
                <w:rFonts w:ascii="Calibri" w:hAnsi="Calibri"/>
                <w:color w:val="1F2A37"/>
                <w:sz w:val="20"/>
              </w:rPr>
              <w:t>Sera gazı salımının CO2 cinsinden ifadesi.</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