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ISO 13485:2016</w:t>
      </w:r>
    </w:p>
    <w:p>
      <w:pPr>
        <w:spacing w:before="0" w:after="80"/>
        <w:jc w:val="left"/>
      </w:pPr>
      <w:r>
        <w:rPr>
          <w:rFonts w:ascii="Calibri" w:hAnsi="Calibri"/>
          <w:color w:val="1F2A37"/>
          <w:sz w:val="40"/>
        </w:rPr>
        <w:t>Tıbbi Cihazlar — Kalite Yönetim Sistemi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BE013</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Tıbbi cihaz üretici/dağıtıcıları, Ar-Ge ve düzenleyici işler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ISO 13485:2016 standardı, kuruluşumuzun Tıbbi Cihazlar — Kalite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"Tıbbi cihaz kalitesi, hastanın hayatıdır."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ISO 13485:2016 standardı, kuruluşumuzun Tıbbi Cihazlar — Kalite Yönetim Sistemi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ISO 13485:2016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ISO 13485:2016, Tıbbi Cihazlar — Kalite Yönetim Sistemi alanında Tıbbi cihaz üretici/dağıtıcıları, Ar-Ge ve düzenleyici işler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ISO 13485:2016, kuruluşların Tıbbi Cihazlar — Kalite Yönetim Sistemi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Tıbbi Cihaz: Tanı/teşhis/önleme/izleme/tedavi amaçlı kullanılan cihaz.</w:t>
      </w:r>
    </w:p>
    <w:p>
      <w:pPr>
        <w:pStyle w:val="ListeParagraf"/>
        <w:spacing w:after="60"/>
        <w:ind w:left="397"/>
      </w:pPr>
      <w:r>
        <w:rPr>
          <w:rFonts w:ascii="Calibri" w:hAnsi="Calibri"/>
          <w:color w:val="1F2A37"/>
          <w:sz w:val="22"/>
        </w:rPr>
        <w:t>•  MDR: Medical Device Regulation (EU 2017/745).</w:t>
      </w:r>
    </w:p>
    <w:p>
      <w:pPr>
        <w:pStyle w:val="ListeParagraf"/>
        <w:spacing w:after="60"/>
        <w:ind w:left="397"/>
      </w:pPr>
      <w:r>
        <w:rPr>
          <w:rFonts w:ascii="Calibri" w:hAnsi="Calibri"/>
          <w:color w:val="1F2A37"/>
          <w:sz w:val="22"/>
        </w:rPr>
        <w:t>•  UDI: Unique Device Identification — benzersiz cihaz tanımlayıcı.</w:t>
      </w:r>
    </w:p>
    <w:p>
      <w:pPr>
        <w:pStyle w:val="ListeParagraf"/>
        <w:spacing w:after="60"/>
        <w:ind w:left="397"/>
      </w:pPr>
      <w:r>
        <w:rPr>
          <w:rFonts w:ascii="Calibri" w:hAnsi="Calibri"/>
          <w:color w:val="1F2A37"/>
          <w:sz w:val="22"/>
        </w:rPr>
        <w:t>•  Tasarım Dosyası: Cihazın geliştirme kanıtlarını içeren dosya.</w:t>
      </w:r>
    </w:p>
    <w:p>
      <w:pPr>
        <w:pStyle w:val="ListeParagraf"/>
        <w:spacing w:after="60"/>
        <w:ind w:left="397"/>
      </w:pPr>
      <w:r>
        <w:rPr>
          <w:rFonts w:ascii="Calibri" w:hAnsi="Calibri"/>
          <w:color w:val="1F2A37"/>
          <w:sz w:val="22"/>
        </w:rPr>
        <w:t>•  Doğrulama (Verification): Tasarımın şartlara uygunluğunun teyidi.</w:t>
      </w:r>
    </w:p>
    <w:p>
      <w:pPr>
        <w:pStyle w:val="ListeParagraf"/>
        <w:spacing w:after="60"/>
        <w:ind w:left="397"/>
      </w:pPr>
      <w:r>
        <w:rPr>
          <w:rFonts w:ascii="Calibri" w:hAnsi="Calibri"/>
          <w:color w:val="1F2A37"/>
          <w:sz w:val="22"/>
        </w:rPr>
        <w:t>•  Geçerli Kılma (Validation): Cihazın kullanım amacını karşıladığının teyidi.</w:t>
      </w:r>
    </w:p>
    <w:p>
      <w:pPr>
        <w:pStyle w:val="ListeParagraf"/>
        <w:spacing w:after="60"/>
        <w:ind w:left="397"/>
      </w:pPr>
      <w:r>
        <w:rPr>
          <w:rFonts w:ascii="Calibri" w:hAnsi="Calibri"/>
          <w:color w:val="1F2A37"/>
          <w:sz w:val="22"/>
        </w:rPr>
        <w:t>•  Vijilans (Vigilance): Pazar sonrası olayların izlenmesi.</w:t>
      </w:r>
    </w:p>
    <w:p>
      <w:pPr>
        <w:pStyle w:val="ListeParagraf"/>
        <w:spacing w:after="60"/>
        <w:ind w:left="397"/>
      </w:pPr>
      <w:r>
        <w:rPr>
          <w:rFonts w:ascii="Calibri" w:hAnsi="Calibri"/>
          <w:color w:val="1F2A37"/>
          <w:sz w:val="22"/>
        </w:rPr>
        <w:t>•  CE İşareti: Avrupa pazarına giriş için uygunluk işareti.</w:t>
      </w:r>
    </w:p>
    <w:p>
      <w:pPr>
        <w:pStyle w:val="ListeParagraf"/>
        <w:spacing w:after="60"/>
        <w:ind w:left="397"/>
      </w:pPr>
      <w:r>
        <w:rPr>
          <w:rFonts w:ascii="Calibri" w:hAnsi="Calibri"/>
          <w:color w:val="1F2A37"/>
          <w:sz w:val="22"/>
        </w:rPr>
        <w:t>•  Geri Çağırma: Pazardaki güvensiz cihazların geri alınması.</w:t>
      </w:r>
    </w:p>
    <w:p>
      <w:pPr>
        <w:pStyle w:val="ListeParagraf"/>
        <w:spacing w:after="60"/>
        <w:ind w:left="397"/>
      </w:pPr>
      <w:r>
        <w:rPr>
          <w:rFonts w:ascii="Calibri" w:hAnsi="Calibri"/>
          <w:color w:val="1F2A37"/>
          <w:sz w:val="22"/>
        </w:rPr>
        <w:t>•  Sterilizasyon Validasyonu: Sterilizasyon sürecinin etkinliğinin kanıtı.</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1996 — EN 46001 (Avrupa).</w:t>
      </w:r>
    </w:p>
    <w:p>
      <w:pPr>
        <w:pStyle w:val="ListeParagraf"/>
        <w:spacing w:after="60"/>
        <w:ind w:left="397"/>
      </w:pPr>
      <w:r>
        <w:rPr>
          <w:rFonts w:ascii="Calibri" w:hAnsi="Calibri"/>
          <w:color w:val="1F2A37"/>
          <w:sz w:val="22"/>
        </w:rPr>
        <w:t>•  2003 — ISO 13485 ilk sürümü.</w:t>
      </w:r>
    </w:p>
    <w:p>
      <w:pPr>
        <w:pStyle w:val="ListeParagraf"/>
        <w:spacing w:after="60"/>
        <w:ind w:left="397"/>
      </w:pPr>
      <w:r>
        <w:rPr>
          <w:rFonts w:ascii="Calibri" w:hAnsi="Calibri"/>
          <w:color w:val="1F2A37"/>
          <w:sz w:val="22"/>
        </w:rPr>
        <w:t>•  2016 — Geçerli güncel sürüm.</w:t>
      </w:r>
    </w:p>
    <w:p>
      <w:pPr>
        <w:pStyle w:val="ListeParagraf"/>
        <w:spacing w:after="60"/>
        <w:ind w:left="397"/>
      </w:pPr>
      <w:r>
        <w:rPr>
          <w:rFonts w:ascii="Calibri" w:hAnsi="Calibri"/>
          <w:color w:val="1F2A37"/>
          <w:sz w:val="22"/>
        </w:rPr>
        <w:t>•  2017 — AB MDR (2017/745) yayımlandı.</w:t>
      </w:r>
    </w:p>
    <w:p>
      <w:pPr>
        <w:pStyle w:val="ListeParagraf"/>
        <w:spacing w:after="60"/>
        <w:ind w:left="397"/>
      </w:pPr>
      <w:r>
        <w:rPr>
          <w:rFonts w:ascii="Calibri" w:hAnsi="Calibri"/>
          <w:color w:val="1F2A37"/>
          <w:sz w:val="22"/>
        </w:rPr>
        <w:t>•  Bugün — FDA QSR ile uyum çalışmaları sürmektedir.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ISO 13485:2016'in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Hasta Güvenliği</w:t>
      </w:r>
    </w:p>
    <w:p>
      <w:pPr>
        <w:spacing w:before="0" w:after="120"/>
      </w:pPr>
      <w:r>
        <w:rPr>
          <w:rFonts w:ascii="Calibri" w:hAnsi="Calibri"/>
          <w:sz w:val="22"/>
        </w:rPr>
        <w:t>Tüm kararlar hasta yararı odaklıdır.</w:t>
      </w:r>
    </w:p>
    <w:p>
      <w:pPr>
        <w:pStyle w:val="Balk2"/>
        <w:spacing w:before="200" w:after="160"/>
      </w:pPr>
      <w:r>
        <w:rPr>
          <w:rFonts w:ascii="Calibri" w:hAnsi="Calibri"/>
        </w:rPr>
        <w:t>3.2  Regülatör Uyum</w:t>
      </w:r>
    </w:p>
    <w:p>
      <w:pPr>
        <w:spacing w:before="0" w:after="120"/>
      </w:pPr>
      <w:r>
        <w:rPr>
          <w:rFonts w:ascii="Calibri" w:hAnsi="Calibri"/>
          <w:sz w:val="22"/>
        </w:rPr>
        <w:t>Yerel ve hedef pazar mevzuatına uyum (MDR, FDA, vb.).</w:t>
      </w:r>
    </w:p>
    <w:p>
      <w:pPr>
        <w:pStyle w:val="Balk2"/>
        <w:spacing w:before="200" w:after="160"/>
      </w:pPr>
      <w:r>
        <w:rPr>
          <w:rFonts w:ascii="Calibri" w:hAnsi="Calibri"/>
        </w:rPr>
        <w:t>3.3  Risk Yönetimi</w:t>
      </w:r>
    </w:p>
    <w:p>
      <w:pPr>
        <w:spacing w:before="0" w:after="120"/>
      </w:pPr>
      <w:r>
        <w:rPr>
          <w:rFonts w:ascii="Calibri" w:hAnsi="Calibri"/>
          <w:sz w:val="22"/>
        </w:rPr>
        <w:t>ISO 14971 uyarınca yaşam döngüsü boyunca risk yönetimi.</w:t>
      </w:r>
    </w:p>
    <w:p>
      <w:pPr>
        <w:pStyle w:val="Balk2"/>
        <w:spacing w:before="200" w:after="160"/>
      </w:pPr>
      <w:r>
        <w:rPr>
          <w:rFonts w:ascii="Calibri" w:hAnsi="Calibri"/>
        </w:rPr>
        <w:t>3.4  Süreç Kontrolü</w:t>
      </w:r>
    </w:p>
    <w:p>
      <w:pPr>
        <w:spacing w:before="0" w:after="120"/>
      </w:pPr>
      <w:r>
        <w:rPr>
          <w:rFonts w:ascii="Calibri" w:hAnsi="Calibri"/>
          <w:sz w:val="22"/>
        </w:rPr>
        <w:t>Üretim ortamı ve süreç doğrulama (validation).</w:t>
      </w:r>
    </w:p>
    <w:p>
      <w:pPr>
        <w:pStyle w:val="Balk2"/>
        <w:spacing w:before="200" w:after="160"/>
      </w:pPr>
      <w:r>
        <w:rPr>
          <w:rFonts w:ascii="Calibri" w:hAnsi="Calibri"/>
        </w:rPr>
        <w:t>3.5  İzlenebilirlik</w:t>
      </w:r>
    </w:p>
    <w:p>
      <w:pPr>
        <w:spacing w:before="0" w:after="120"/>
      </w:pPr>
      <w:r>
        <w:rPr>
          <w:rFonts w:ascii="Calibri" w:hAnsi="Calibri"/>
          <w:sz w:val="22"/>
        </w:rPr>
        <w:t>Her cihaz seri/lot bazında izlenebilmelidir.</w:t>
      </w:r>
    </w:p>
    <w:p>
      <w:pPr>
        <w:pStyle w:val="Balk2"/>
        <w:spacing w:before="200" w:after="160"/>
      </w:pPr>
      <w:r>
        <w:rPr>
          <w:rFonts w:ascii="Calibri" w:hAnsi="Calibri"/>
        </w:rPr>
        <w:t>3.6  Şikayet ve Vijilans</w:t>
      </w:r>
    </w:p>
    <w:p>
      <w:pPr>
        <w:spacing w:before="0" w:after="120"/>
      </w:pPr>
      <w:r>
        <w:rPr>
          <w:rFonts w:ascii="Calibri" w:hAnsi="Calibri"/>
          <w:sz w:val="22"/>
        </w:rPr>
        <w:t>Olayların raporlanması, geri çağırma süreci.</w:t>
      </w:r>
    </w:p>
    <w:p>
      <w:pPr>
        <w:pStyle w:val="Balk2"/>
        <w:spacing w:before="200" w:after="160"/>
      </w:pPr>
      <w:r>
        <w:rPr>
          <w:rFonts w:ascii="Calibri" w:hAnsi="Calibri"/>
        </w:rPr>
        <w:t>3.7  Tasarım ve Geliştirme Kontrolü</w:t>
      </w:r>
    </w:p>
    <w:p>
      <w:pPr>
        <w:spacing w:before="0" w:after="120"/>
      </w:pPr>
      <w:r>
        <w:rPr>
          <w:rFonts w:ascii="Calibri" w:hAnsi="Calibri"/>
          <w:sz w:val="22"/>
        </w:rPr>
        <w:t>Tasarım dosyası, doğrulama, geçerli kılma.</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Tıbbi Cihaz</w:t>
            </w:r>
          </w:p>
        </w:tc>
        <w:tc>
          <w:tcPr>
            <w:tcW w:type="dxa" w:w="4513"/>
            <w:shd w:fill="F4F6F9"/>
          </w:tcPr>
          <w:p>
            <w:r/>
            <w:r>
              <w:rPr>
                <w:rFonts w:ascii="Calibri" w:hAnsi="Calibri"/>
                <w:color w:val="1F2A37"/>
                <w:sz w:val="20"/>
              </w:rPr>
              <w:t>Tanı/teşhis/önleme/izleme/tedavi amaçlı kullanılan cihaz.</w:t>
            </w:r>
          </w:p>
        </w:tc>
      </w:tr>
      <w:tr>
        <w:tc>
          <w:tcPr>
            <w:tcW w:type="dxa" w:w="4513"/>
          </w:tcPr>
          <w:p>
            <w:r/>
            <w:r>
              <w:rPr>
                <w:rFonts w:ascii="Calibri" w:hAnsi="Calibri"/>
                <w:color w:val="1F2A37"/>
                <w:sz w:val="20"/>
              </w:rPr>
              <w:t>MDR</w:t>
            </w:r>
          </w:p>
        </w:tc>
        <w:tc>
          <w:tcPr>
            <w:tcW w:type="dxa" w:w="4513"/>
          </w:tcPr>
          <w:p>
            <w:r/>
            <w:r>
              <w:rPr>
                <w:rFonts w:ascii="Calibri" w:hAnsi="Calibri"/>
                <w:color w:val="1F2A37"/>
                <w:sz w:val="20"/>
              </w:rPr>
              <w:t>Medical Device Regulation (EU 2017/745).</w:t>
            </w:r>
          </w:p>
        </w:tc>
      </w:tr>
      <w:tr>
        <w:tc>
          <w:tcPr>
            <w:tcW w:type="dxa" w:w="4513"/>
            <w:shd w:fill="F4F6F9"/>
          </w:tcPr>
          <w:p>
            <w:r/>
            <w:r>
              <w:rPr>
                <w:rFonts w:ascii="Calibri" w:hAnsi="Calibri"/>
                <w:color w:val="1F2A37"/>
                <w:sz w:val="20"/>
              </w:rPr>
              <w:t>UDI</w:t>
            </w:r>
          </w:p>
        </w:tc>
        <w:tc>
          <w:tcPr>
            <w:tcW w:type="dxa" w:w="4513"/>
            <w:shd w:fill="F4F6F9"/>
          </w:tcPr>
          <w:p>
            <w:r/>
            <w:r>
              <w:rPr>
                <w:rFonts w:ascii="Calibri" w:hAnsi="Calibri"/>
                <w:color w:val="1F2A37"/>
                <w:sz w:val="20"/>
              </w:rPr>
              <w:t>Unique Device Identification — benzersiz cihaz tanımlayıcı.</w:t>
            </w:r>
          </w:p>
        </w:tc>
      </w:tr>
      <w:tr>
        <w:tc>
          <w:tcPr>
            <w:tcW w:type="dxa" w:w="4513"/>
          </w:tcPr>
          <w:p>
            <w:r/>
            <w:r>
              <w:rPr>
                <w:rFonts w:ascii="Calibri" w:hAnsi="Calibri"/>
                <w:color w:val="1F2A37"/>
                <w:sz w:val="20"/>
              </w:rPr>
              <w:t>Tasarım Dosyası</w:t>
            </w:r>
          </w:p>
        </w:tc>
        <w:tc>
          <w:tcPr>
            <w:tcW w:type="dxa" w:w="4513"/>
          </w:tcPr>
          <w:p>
            <w:r/>
            <w:r>
              <w:rPr>
                <w:rFonts w:ascii="Calibri" w:hAnsi="Calibri"/>
                <w:color w:val="1F2A37"/>
                <w:sz w:val="20"/>
              </w:rPr>
              <w:t>Cihazın geliştirme kanıtlarını içeren dosya.</w:t>
            </w:r>
          </w:p>
        </w:tc>
      </w:tr>
      <w:tr>
        <w:tc>
          <w:tcPr>
            <w:tcW w:type="dxa" w:w="4513"/>
            <w:shd w:fill="F4F6F9"/>
          </w:tcPr>
          <w:p>
            <w:r/>
            <w:r>
              <w:rPr>
                <w:rFonts w:ascii="Calibri" w:hAnsi="Calibri"/>
                <w:color w:val="1F2A37"/>
                <w:sz w:val="20"/>
              </w:rPr>
              <w:t>Doğrulama (Verification)</w:t>
            </w:r>
          </w:p>
        </w:tc>
        <w:tc>
          <w:tcPr>
            <w:tcW w:type="dxa" w:w="4513"/>
            <w:shd w:fill="F4F6F9"/>
          </w:tcPr>
          <w:p>
            <w:r/>
            <w:r>
              <w:rPr>
                <w:rFonts w:ascii="Calibri" w:hAnsi="Calibri"/>
                <w:color w:val="1F2A37"/>
                <w:sz w:val="20"/>
              </w:rPr>
              <w:t>Tasarımın şartlara uygunluğunun teyidi.</w:t>
            </w:r>
          </w:p>
        </w:tc>
      </w:tr>
      <w:tr>
        <w:tc>
          <w:tcPr>
            <w:tcW w:type="dxa" w:w="4513"/>
          </w:tcPr>
          <w:p>
            <w:r/>
            <w:r>
              <w:rPr>
                <w:rFonts w:ascii="Calibri" w:hAnsi="Calibri"/>
                <w:color w:val="1F2A37"/>
                <w:sz w:val="20"/>
              </w:rPr>
              <w:t>Geçerli Kılma (Validation)</w:t>
            </w:r>
          </w:p>
        </w:tc>
        <w:tc>
          <w:tcPr>
            <w:tcW w:type="dxa" w:w="4513"/>
          </w:tcPr>
          <w:p>
            <w:r/>
            <w:r>
              <w:rPr>
                <w:rFonts w:ascii="Calibri" w:hAnsi="Calibri"/>
                <w:color w:val="1F2A37"/>
                <w:sz w:val="20"/>
              </w:rPr>
              <w:t>Cihazın kullanım amacını karşıladığının teyidi.</w:t>
            </w:r>
          </w:p>
        </w:tc>
      </w:tr>
      <w:tr>
        <w:tc>
          <w:tcPr>
            <w:tcW w:type="dxa" w:w="4513"/>
            <w:shd w:fill="F4F6F9"/>
          </w:tcPr>
          <w:p>
            <w:r/>
            <w:r>
              <w:rPr>
                <w:rFonts w:ascii="Calibri" w:hAnsi="Calibri"/>
                <w:color w:val="1F2A37"/>
                <w:sz w:val="20"/>
              </w:rPr>
              <w:t>Vijilans (Vigilance)</w:t>
            </w:r>
          </w:p>
        </w:tc>
        <w:tc>
          <w:tcPr>
            <w:tcW w:type="dxa" w:w="4513"/>
            <w:shd w:fill="F4F6F9"/>
          </w:tcPr>
          <w:p>
            <w:r/>
            <w:r>
              <w:rPr>
                <w:rFonts w:ascii="Calibri" w:hAnsi="Calibri"/>
                <w:color w:val="1F2A37"/>
                <w:sz w:val="20"/>
              </w:rPr>
              <w:t>Pazar sonrası olayların izlenmesi.</w:t>
            </w:r>
          </w:p>
        </w:tc>
      </w:tr>
      <w:tr>
        <w:tc>
          <w:tcPr>
            <w:tcW w:type="dxa" w:w="4513"/>
          </w:tcPr>
          <w:p>
            <w:r/>
            <w:r>
              <w:rPr>
                <w:rFonts w:ascii="Calibri" w:hAnsi="Calibri"/>
                <w:color w:val="1F2A37"/>
                <w:sz w:val="20"/>
              </w:rPr>
              <w:t>CE İşareti</w:t>
            </w:r>
          </w:p>
        </w:tc>
        <w:tc>
          <w:tcPr>
            <w:tcW w:type="dxa" w:w="4513"/>
          </w:tcPr>
          <w:p>
            <w:r/>
            <w:r>
              <w:rPr>
                <w:rFonts w:ascii="Calibri" w:hAnsi="Calibri"/>
                <w:color w:val="1F2A37"/>
                <w:sz w:val="20"/>
              </w:rPr>
              <w:t>Avrupa pazarına giriş için uygunluk işareti.</w:t>
            </w:r>
          </w:p>
        </w:tc>
      </w:tr>
      <w:tr>
        <w:tc>
          <w:tcPr>
            <w:tcW w:type="dxa" w:w="4513"/>
            <w:shd w:fill="F4F6F9"/>
          </w:tcPr>
          <w:p>
            <w:r/>
            <w:r>
              <w:rPr>
                <w:rFonts w:ascii="Calibri" w:hAnsi="Calibri"/>
                <w:color w:val="1F2A37"/>
                <w:sz w:val="20"/>
              </w:rPr>
              <w:t>Geri Çağırma</w:t>
            </w:r>
          </w:p>
        </w:tc>
        <w:tc>
          <w:tcPr>
            <w:tcW w:type="dxa" w:w="4513"/>
            <w:shd w:fill="F4F6F9"/>
          </w:tcPr>
          <w:p>
            <w:r/>
            <w:r>
              <w:rPr>
                <w:rFonts w:ascii="Calibri" w:hAnsi="Calibri"/>
                <w:color w:val="1F2A37"/>
                <w:sz w:val="20"/>
              </w:rPr>
              <w:t>Pazardaki güvensiz cihazların geri alınması.</w:t>
            </w:r>
          </w:p>
        </w:tc>
      </w:tr>
      <w:tr>
        <w:tc>
          <w:tcPr>
            <w:tcW w:type="dxa" w:w="4513"/>
          </w:tcPr>
          <w:p>
            <w:r/>
            <w:r>
              <w:rPr>
                <w:rFonts w:ascii="Calibri" w:hAnsi="Calibri"/>
                <w:color w:val="1F2A37"/>
                <w:sz w:val="20"/>
              </w:rPr>
              <w:t>Sterilizasyon Validasyonu</w:t>
            </w:r>
          </w:p>
        </w:tc>
        <w:tc>
          <w:tcPr>
            <w:tcW w:type="dxa" w:w="4513"/>
          </w:tcPr>
          <w:p>
            <w:r/>
            <w:r>
              <w:rPr>
                <w:rFonts w:ascii="Calibri" w:hAnsi="Calibri"/>
                <w:color w:val="1F2A37"/>
                <w:sz w:val="20"/>
              </w:rPr>
              <w:t>Sterilizasyon sürecinin etkinliğinin kanıtı.</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