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CE İşareti</w:t>
      </w:r>
    </w:p>
    <w:p>
      <w:pPr>
        <w:spacing w:before="0" w:after="80"/>
        <w:jc w:val="left"/>
      </w:pPr>
      <w:r>
        <w:rPr>
          <w:rFonts w:ascii="Calibri" w:hAnsi="Calibri"/>
          <w:color w:val="1F2A37"/>
          <w:sz w:val="40"/>
        </w:rPr>
        <w:t>Avrupa Birliği Uygunluk İşaretlemesi</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BE014</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Üretici, ithalatçı ve düzenleyici işler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CE İşareti standardı, kuruluşumuzun Avrupa Birliği Uygunluk İşaretlemesi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"CE, kalite damgası değil; yasal uygunluk işaretidir."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CE İşareti standardı, kuruluşumuzun Avrupa Birliği Uygunluk İşaretlemesi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CE İşareti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CE İşareti, Avrupa Birliği Uygunluk İşaretlemesi alanında Üretici, ithalatçı ve düzenleyici işler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CE İşareti, kuruluşların Avrupa Birliği Uygunluk İşaretlemesi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CE: Conformité Européenne — Avrupa Uygunluğu.</w:t>
      </w:r>
    </w:p>
    <w:p>
      <w:pPr>
        <w:pStyle w:val="ListeParagraf"/>
        <w:spacing w:after="60"/>
        <w:ind w:left="397"/>
      </w:pPr>
      <w:r>
        <w:rPr>
          <w:rFonts w:ascii="Calibri" w:hAnsi="Calibri"/>
          <w:color w:val="1F2A37"/>
          <w:sz w:val="22"/>
        </w:rPr>
        <w:t>•  Direktif/Yönetmelik: Belirli ürün grupları için temel yasal çerçeve.</w:t>
      </w:r>
    </w:p>
    <w:p>
      <w:pPr>
        <w:pStyle w:val="ListeParagraf"/>
        <w:spacing w:after="60"/>
        <w:ind w:left="397"/>
      </w:pPr>
      <w:r>
        <w:rPr>
          <w:rFonts w:ascii="Calibri" w:hAnsi="Calibri"/>
          <w:color w:val="1F2A37"/>
          <w:sz w:val="22"/>
        </w:rPr>
        <w:t>•  Modüller: Uygunluk değerlendirme modülleri (A–H).</w:t>
      </w:r>
    </w:p>
    <w:p>
      <w:pPr>
        <w:pStyle w:val="ListeParagraf"/>
        <w:spacing w:after="60"/>
        <w:ind w:left="397"/>
      </w:pPr>
      <w:r>
        <w:rPr>
          <w:rFonts w:ascii="Calibri" w:hAnsi="Calibri"/>
          <w:color w:val="1F2A37"/>
          <w:sz w:val="22"/>
        </w:rPr>
        <w:t>•  Onaylanmış Kuruluş (NB): Üye devletçe atanmış uygunluk değerlendirme kuruluşu.</w:t>
      </w:r>
    </w:p>
    <w:p>
      <w:pPr>
        <w:pStyle w:val="ListeParagraf"/>
        <w:spacing w:after="60"/>
        <w:ind w:left="397"/>
      </w:pPr>
      <w:r>
        <w:rPr>
          <w:rFonts w:ascii="Calibri" w:hAnsi="Calibri"/>
          <w:color w:val="1F2A37"/>
          <w:sz w:val="22"/>
        </w:rPr>
        <w:t>•  Teknik Dosya: Ürünün uygunluk kanıt dosyası.</w:t>
      </w:r>
    </w:p>
    <w:p>
      <w:pPr>
        <w:pStyle w:val="ListeParagraf"/>
        <w:spacing w:after="60"/>
        <w:ind w:left="397"/>
      </w:pPr>
      <w:r>
        <w:rPr>
          <w:rFonts w:ascii="Calibri" w:hAnsi="Calibri"/>
          <w:color w:val="1F2A37"/>
          <w:sz w:val="22"/>
        </w:rPr>
        <w:t>•  AT Beyanı: Üreticinin uygunluk beyannamesi.</w:t>
      </w:r>
    </w:p>
    <w:p>
      <w:pPr>
        <w:pStyle w:val="ListeParagraf"/>
        <w:spacing w:after="60"/>
        <w:ind w:left="397"/>
      </w:pPr>
      <w:r>
        <w:rPr>
          <w:rFonts w:ascii="Calibri" w:hAnsi="Calibri"/>
          <w:color w:val="1F2A37"/>
          <w:sz w:val="22"/>
        </w:rPr>
        <w:t>•  Uyumlaştırılmış Standart: Direktifin gereklerini karşıladığına karine sağlayan standart.</w:t>
      </w:r>
    </w:p>
    <w:p>
      <w:pPr>
        <w:pStyle w:val="ListeParagraf"/>
        <w:spacing w:after="60"/>
        <w:ind w:left="397"/>
      </w:pPr>
      <w:r>
        <w:rPr>
          <w:rFonts w:ascii="Calibri" w:hAnsi="Calibri"/>
          <w:color w:val="1F2A37"/>
          <w:sz w:val="22"/>
        </w:rPr>
        <w:t>•  Risk Analizi: Ürün riskleri ve azaltıcı önlemler.</w:t>
      </w:r>
    </w:p>
    <w:p>
      <w:pPr>
        <w:pStyle w:val="ListeParagraf"/>
        <w:spacing w:after="60"/>
        <w:ind w:left="397"/>
      </w:pPr>
      <w:r>
        <w:rPr>
          <w:rFonts w:ascii="Calibri" w:hAnsi="Calibri"/>
          <w:color w:val="1F2A37"/>
          <w:sz w:val="22"/>
        </w:rPr>
        <w:t>•  Pazar Gözetimi: Devletin pazardaki ürünleri denetlemesi.</w:t>
      </w:r>
    </w:p>
    <w:p>
      <w:pPr>
        <w:pStyle w:val="ListeParagraf"/>
        <w:spacing w:after="60"/>
        <w:ind w:left="397"/>
      </w:pPr>
      <w:r>
        <w:rPr>
          <w:rFonts w:ascii="Calibri" w:hAnsi="Calibri"/>
          <w:color w:val="1F2A37"/>
          <w:sz w:val="22"/>
        </w:rPr>
        <w:t>•  UKCA: İngiltere'nin Brexit sonrası uygunluk işareti.</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1985 — Yeni Yaklaşım Direktifleri yayımlandı.</w:t>
      </w:r>
    </w:p>
    <w:p>
      <w:pPr>
        <w:pStyle w:val="ListeParagraf"/>
        <w:spacing w:after="60"/>
        <w:ind w:left="397"/>
      </w:pPr>
      <w:r>
        <w:rPr>
          <w:rFonts w:ascii="Calibri" w:hAnsi="Calibri"/>
          <w:color w:val="1F2A37"/>
          <w:sz w:val="22"/>
        </w:rPr>
        <w:t>•  1993 — CE işareti zorunlu hâle geldi.</w:t>
      </w:r>
    </w:p>
    <w:p>
      <w:pPr>
        <w:pStyle w:val="ListeParagraf"/>
        <w:spacing w:after="60"/>
        <w:ind w:left="397"/>
      </w:pPr>
      <w:r>
        <w:rPr>
          <w:rFonts w:ascii="Calibri" w:hAnsi="Calibri"/>
          <w:color w:val="1F2A37"/>
          <w:sz w:val="22"/>
        </w:rPr>
        <w:t>•  2008 — 'Yeni Yasal Çerçeve' (NLF) ile sistem güncellendi.</w:t>
      </w:r>
    </w:p>
    <w:p>
      <w:pPr>
        <w:pStyle w:val="ListeParagraf"/>
        <w:spacing w:after="60"/>
        <w:ind w:left="397"/>
      </w:pPr>
      <w:r>
        <w:rPr>
          <w:rFonts w:ascii="Calibri" w:hAnsi="Calibri"/>
          <w:color w:val="1F2A37"/>
          <w:sz w:val="22"/>
        </w:rPr>
        <w:t>•  Bugün — 30+ direktif/yönetmelik altında uygulanır (Makine, LVD, EMC, MDR, vb.).</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CE İşareti'in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Üretici Sorumluluğu</w:t>
      </w:r>
    </w:p>
    <w:p>
      <w:pPr>
        <w:spacing w:before="0" w:after="120"/>
      </w:pPr>
      <w:r>
        <w:rPr>
          <w:rFonts w:ascii="Calibri" w:hAnsi="Calibri"/>
          <w:sz w:val="22"/>
        </w:rPr>
        <w:t>İşaretleme sorumluluğu üreticiye aittir.</w:t>
      </w:r>
    </w:p>
    <w:p>
      <w:pPr>
        <w:pStyle w:val="Balk2"/>
        <w:spacing w:before="200" w:after="160"/>
      </w:pPr>
      <w:r>
        <w:rPr>
          <w:rFonts w:ascii="Calibri" w:hAnsi="Calibri"/>
        </w:rPr>
        <w:t>3.2  Temel Sağlık ve Güvenlik Gereklilikleri (ESHR)</w:t>
      </w:r>
    </w:p>
    <w:p>
      <w:pPr>
        <w:spacing w:before="0" w:after="120"/>
      </w:pPr>
      <w:r>
        <w:rPr>
          <w:rFonts w:ascii="Calibri" w:hAnsi="Calibri"/>
          <w:sz w:val="22"/>
        </w:rPr>
        <w:t>Direktifte belirlenen temel şartlar karşılanmalıdır.</w:t>
      </w:r>
    </w:p>
    <w:p>
      <w:pPr>
        <w:pStyle w:val="Balk2"/>
        <w:spacing w:before="200" w:after="160"/>
      </w:pPr>
      <w:r>
        <w:rPr>
          <w:rFonts w:ascii="Calibri" w:hAnsi="Calibri"/>
        </w:rPr>
        <w:t>3.3  Uyumlaştırılmış Standartlar</w:t>
      </w:r>
    </w:p>
    <w:p>
      <w:pPr>
        <w:spacing w:before="0" w:after="120"/>
      </w:pPr>
      <w:r>
        <w:rPr>
          <w:rFonts w:ascii="Calibri" w:hAnsi="Calibri"/>
          <w:sz w:val="22"/>
        </w:rPr>
        <w:t>Standartlar uyum karinesi sağlar.</w:t>
      </w:r>
    </w:p>
    <w:p>
      <w:pPr>
        <w:pStyle w:val="Balk2"/>
        <w:spacing w:before="200" w:after="160"/>
      </w:pPr>
      <w:r>
        <w:rPr>
          <w:rFonts w:ascii="Calibri" w:hAnsi="Calibri"/>
        </w:rPr>
        <w:t>3.4  Teknik Dosya</w:t>
      </w:r>
    </w:p>
    <w:p>
      <w:pPr>
        <w:spacing w:before="0" w:after="120"/>
      </w:pPr>
      <w:r>
        <w:rPr>
          <w:rFonts w:ascii="Calibri" w:hAnsi="Calibri"/>
          <w:sz w:val="22"/>
        </w:rPr>
        <w:t>Tüm tasarım, test ve risk değerlendirme kanıtları.</w:t>
      </w:r>
    </w:p>
    <w:p>
      <w:pPr>
        <w:pStyle w:val="Balk2"/>
        <w:spacing w:before="200" w:after="160"/>
      </w:pPr>
      <w:r>
        <w:rPr>
          <w:rFonts w:ascii="Calibri" w:hAnsi="Calibri"/>
        </w:rPr>
        <w:t>3.5  AT Uygunluk Beyanı</w:t>
      </w:r>
    </w:p>
    <w:p>
      <w:pPr>
        <w:spacing w:before="0" w:after="120"/>
      </w:pPr>
      <w:r>
        <w:rPr>
          <w:rFonts w:ascii="Calibri" w:hAnsi="Calibri"/>
          <w:sz w:val="22"/>
        </w:rPr>
        <w:t>Üretici tarafından imzalanmış resmî beyan.</w:t>
      </w:r>
    </w:p>
    <w:p>
      <w:pPr>
        <w:pStyle w:val="Balk2"/>
        <w:spacing w:before="200" w:after="160"/>
      </w:pPr>
      <w:r>
        <w:rPr>
          <w:rFonts w:ascii="Calibri" w:hAnsi="Calibri"/>
        </w:rPr>
        <w:t>3.6  Onaylanmış Kuruluş</w:t>
      </w:r>
    </w:p>
    <w:p>
      <w:pPr>
        <w:spacing w:before="0" w:after="120"/>
      </w:pPr>
      <w:r>
        <w:rPr>
          <w:rFonts w:ascii="Calibri" w:hAnsi="Calibri"/>
          <w:sz w:val="22"/>
        </w:rPr>
        <w:t>Yüksek riskli ürünlerde bağımsız değerlendirme.</w:t>
      </w:r>
    </w:p>
    <w:p>
      <w:pPr>
        <w:pStyle w:val="Balk2"/>
        <w:spacing w:before="200" w:after="160"/>
      </w:pPr>
      <w:r>
        <w:rPr>
          <w:rFonts w:ascii="Calibri" w:hAnsi="Calibri"/>
        </w:rPr>
        <w:t>3.7  Pazar Sonrası Gözetim</w:t>
      </w:r>
    </w:p>
    <w:p>
      <w:pPr>
        <w:spacing w:before="0" w:after="120"/>
      </w:pPr>
      <w:r>
        <w:rPr>
          <w:rFonts w:ascii="Calibri" w:hAnsi="Calibri"/>
          <w:sz w:val="22"/>
        </w:rPr>
        <w:t>İşaretlenmiş ürünlerin pazardaki takibi.</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CE</w:t>
            </w:r>
          </w:p>
        </w:tc>
        <w:tc>
          <w:tcPr>
            <w:tcW w:type="dxa" w:w="4513"/>
            <w:shd w:fill="F4F6F9"/>
          </w:tcPr>
          <w:p>
            <w:r/>
            <w:r>
              <w:rPr>
                <w:rFonts w:ascii="Calibri" w:hAnsi="Calibri"/>
                <w:color w:val="1F2A37"/>
                <w:sz w:val="20"/>
              </w:rPr>
              <w:t>Conformité Européenne — Avrupa Uygunluğu.</w:t>
            </w:r>
          </w:p>
        </w:tc>
      </w:tr>
      <w:tr>
        <w:tc>
          <w:tcPr>
            <w:tcW w:type="dxa" w:w="4513"/>
          </w:tcPr>
          <w:p>
            <w:r/>
            <w:r>
              <w:rPr>
                <w:rFonts w:ascii="Calibri" w:hAnsi="Calibri"/>
                <w:color w:val="1F2A37"/>
                <w:sz w:val="20"/>
              </w:rPr>
              <w:t>Direktif/Yönetmelik</w:t>
            </w:r>
          </w:p>
        </w:tc>
        <w:tc>
          <w:tcPr>
            <w:tcW w:type="dxa" w:w="4513"/>
          </w:tcPr>
          <w:p>
            <w:r/>
            <w:r>
              <w:rPr>
                <w:rFonts w:ascii="Calibri" w:hAnsi="Calibri"/>
                <w:color w:val="1F2A37"/>
                <w:sz w:val="20"/>
              </w:rPr>
              <w:t>Belirli ürün grupları için temel yasal çerçeve.</w:t>
            </w:r>
          </w:p>
        </w:tc>
      </w:tr>
      <w:tr>
        <w:tc>
          <w:tcPr>
            <w:tcW w:type="dxa" w:w="4513"/>
            <w:shd w:fill="F4F6F9"/>
          </w:tcPr>
          <w:p>
            <w:r/>
            <w:r>
              <w:rPr>
                <w:rFonts w:ascii="Calibri" w:hAnsi="Calibri"/>
                <w:color w:val="1F2A37"/>
                <w:sz w:val="20"/>
              </w:rPr>
              <w:t>Modüller</w:t>
            </w:r>
          </w:p>
        </w:tc>
        <w:tc>
          <w:tcPr>
            <w:tcW w:type="dxa" w:w="4513"/>
            <w:shd w:fill="F4F6F9"/>
          </w:tcPr>
          <w:p>
            <w:r/>
            <w:r>
              <w:rPr>
                <w:rFonts w:ascii="Calibri" w:hAnsi="Calibri"/>
                <w:color w:val="1F2A37"/>
                <w:sz w:val="20"/>
              </w:rPr>
              <w:t>Uygunluk değerlendirme modülleri (A–H).</w:t>
            </w:r>
          </w:p>
        </w:tc>
      </w:tr>
      <w:tr>
        <w:tc>
          <w:tcPr>
            <w:tcW w:type="dxa" w:w="4513"/>
          </w:tcPr>
          <w:p>
            <w:r/>
            <w:r>
              <w:rPr>
                <w:rFonts w:ascii="Calibri" w:hAnsi="Calibri"/>
                <w:color w:val="1F2A37"/>
                <w:sz w:val="20"/>
              </w:rPr>
              <w:t>Onaylanmış Kuruluş (NB)</w:t>
            </w:r>
          </w:p>
        </w:tc>
        <w:tc>
          <w:tcPr>
            <w:tcW w:type="dxa" w:w="4513"/>
          </w:tcPr>
          <w:p>
            <w:r/>
            <w:r>
              <w:rPr>
                <w:rFonts w:ascii="Calibri" w:hAnsi="Calibri"/>
                <w:color w:val="1F2A37"/>
                <w:sz w:val="20"/>
              </w:rPr>
              <w:t>Üye devletçe atanmış uygunluk değerlendirme kuruluşu.</w:t>
            </w:r>
          </w:p>
        </w:tc>
      </w:tr>
      <w:tr>
        <w:tc>
          <w:tcPr>
            <w:tcW w:type="dxa" w:w="4513"/>
            <w:shd w:fill="F4F6F9"/>
          </w:tcPr>
          <w:p>
            <w:r/>
            <w:r>
              <w:rPr>
                <w:rFonts w:ascii="Calibri" w:hAnsi="Calibri"/>
                <w:color w:val="1F2A37"/>
                <w:sz w:val="20"/>
              </w:rPr>
              <w:t>Teknik Dosya</w:t>
            </w:r>
          </w:p>
        </w:tc>
        <w:tc>
          <w:tcPr>
            <w:tcW w:type="dxa" w:w="4513"/>
            <w:shd w:fill="F4F6F9"/>
          </w:tcPr>
          <w:p>
            <w:r/>
            <w:r>
              <w:rPr>
                <w:rFonts w:ascii="Calibri" w:hAnsi="Calibri"/>
                <w:color w:val="1F2A37"/>
                <w:sz w:val="20"/>
              </w:rPr>
              <w:t>Ürünün uygunluk kanıt dosyası.</w:t>
            </w:r>
          </w:p>
        </w:tc>
      </w:tr>
      <w:tr>
        <w:tc>
          <w:tcPr>
            <w:tcW w:type="dxa" w:w="4513"/>
          </w:tcPr>
          <w:p>
            <w:r/>
            <w:r>
              <w:rPr>
                <w:rFonts w:ascii="Calibri" w:hAnsi="Calibri"/>
                <w:color w:val="1F2A37"/>
                <w:sz w:val="20"/>
              </w:rPr>
              <w:t>AT Beyanı</w:t>
            </w:r>
          </w:p>
        </w:tc>
        <w:tc>
          <w:tcPr>
            <w:tcW w:type="dxa" w:w="4513"/>
          </w:tcPr>
          <w:p>
            <w:r/>
            <w:r>
              <w:rPr>
                <w:rFonts w:ascii="Calibri" w:hAnsi="Calibri"/>
                <w:color w:val="1F2A37"/>
                <w:sz w:val="20"/>
              </w:rPr>
              <w:t>Üreticinin uygunluk beyannamesi.</w:t>
            </w:r>
          </w:p>
        </w:tc>
      </w:tr>
      <w:tr>
        <w:tc>
          <w:tcPr>
            <w:tcW w:type="dxa" w:w="4513"/>
            <w:shd w:fill="F4F6F9"/>
          </w:tcPr>
          <w:p>
            <w:r/>
            <w:r>
              <w:rPr>
                <w:rFonts w:ascii="Calibri" w:hAnsi="Calibri"/>
                <w:color w:val="1F2A37"/>
                <w:sz w:val="20"/>
              </w:rPr>
              <w:t>Uyumlaştırılmış Standart</w:t>
            </w:r>
          </w:p>
        </w:tc>
        <w:tc>
          <w:tcPr>
            <w:tcW w:type="dxa" w:w="4513"/>
            <w:shd w:fill="F4F6F9"/>
          </w:tcPr>
          <w:p>
            <w:r/>
            <w:r>
              <w:rPr>
                <w:rFonts w:ascii="Calibri" w:hAnsi="Calibri"/>
                <w:color w:val="1F2A37"/>
                <w:sz w:val="20"/>
              </w:rPr>
              <w:t>Direktifin gereklerini karşıladığına karine sağlayan standart.</w:t>
            </w:r>
          </w:p>
        </w:tc>
      </w:tr>
      <w:tr>
        <w:tc>
          <w:tcPr>
            <w:tcW w:type="dxa" w:w="4513"/>
          </w:tcPr>
          <w:p>
            <w:r/>
            <w:r>
              <w:rPr>
                <w:rFonts w:ascii="Calibri" w:hAnsi="Calibri"/>
                <w:color w:val="1F2A37"/>
                <w:sz w:val="20"/>
              </w:rPr>
              <w:t>Risk Analizi</w:t>
            </w:r>
          </w:p>
        </w:tc>
        <w:tc>
          <w:tcPr>
            <w:tcW w:type="dxa" w:w="4513"/>
          </w:tcPr>
          <w:p>
            <w:r/>
            <w:r>
              <w:rPr>
                <w:rFonts w:ascii="Calibri" w:hAnsi="Calibri"/>
                <w:color w:val="1F2A37"/>
                <w:sz w:val="20"/>
              </w:rPr>
              <w:t>Ürün riskleri ve azaltıcı önlemler.</w:t>
            </w:r>
          </w:p>
        </w:tc>
      </w:tr>
      <w:tr>
        <w:tc>
          <w:tcPr>
            <w:tcW w:type="dxa" w:w="4513"/>
            <w:shd w:fill="F4F6F9"/>
          </w:tcPr>
          <w:p>
            <w:r/>
            <w:r>
              <w:rPr>
                <w:rFonts w:ascii="Calibri" w:hAnsi="Calibri"/>
                <w:color w:val="1F2A37"/>
                <w:sz w:val="20"/>
              </w:rPr>
              <w:t>Pazar Gözetimi</w:t>
            </w:r>
          </w:p>
        </w:tc>
        <w:tc>
          <w:tcPr>
            <w:tcW w:type="dxa" w:w="4513"/>
            <w:shd w:fill="F4F6F9"/>
          </w:tcPr>
          <w:p>
            <w:r/>
            <w:r>
              <w:rPr>
                <w:rFonts w:ascii="Calibri" w:hAnsi="Calibri"/>
                <w:color w:val="1F2A37"/>
                <w:sz w:val="20"/>
              </w:rPr>
              <w:t>Devletin pazardaki ürünleri denetlemesi.</w:t>
            </w:r>
          </w:p>
        </w:tc>
      </w:tr>
      <w:tr>
        <w:tc>
          <w:tcPr>
            <w:tcW w:type="dxa" w:w="4513"/>
          </w:tcPr>
          <w:p>
            <w:r/>
            <w:r>
              <w:rPr>
                <w:rFonts w:ascii="Calibri" w:hAnsi="Calibri"/>
                <w:color w:val="1F2A37"/>
                <w:sz w:val="20"/>
              </w:rPr>
              <w:t>UKCA</w:t>
            </w:r>
          </w:p>
        </w:tc>
        <w:tc>
          <w:tcPr>
            <w:tcW w:type="dxa" w:w="4513"/>
          </w:tcPr>
          <w:p>
            <w:r/>
            <w:r>
              <w:rPr>
                <w:rFonts w:ascii="Calibri" w:hAnsi="Calibri"/>
                <w:color w:val="1F2A37"/>
                <w:sz w:val="20"/>
              </w:rPr>
              <w:t>İngiltere'nin Brexit sonrası uygunluk işareti.</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