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GLP — İyi Laboratuvar Uygulamaları</w:t>
      </w:r>
    </w:p>
    <w:p>
      <w:pPr>
        <w:spacing w:before="0" w:after="80"/>
        <w:jc w:val="left"/>
      </w:pPr>
      <w:r>
        <w:rPr>
          <w:rFonts w:ascii="Calibri" w:hAnsi="Calibri"/>
          <w:color w:val="1F2A37"/>
          <w:sz w:val="40"/>
        </w:rPr>
        <w:t>Güvenli, Tutarlı ve Geriye İzlenebilir Test Çalışmaları</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BE015</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Laboratuvar, Ar-Ge ve QA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GLP — İyi Laboratuvar Uygulamaları standardı, kuruluşumuzun Güvenli, Tutarlı ve Geriye İzlenebilir Test Çalışmaları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"Veri, yöntemiyle birlikte güvenilirdir."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GLP — İyi Laboratuvar Uygulamaları standardı, kuruluşumuzun Güvenli, Tutarlı ve Geriye İzlenebilir Test Çalışmaları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GLP — İyi Laboratuvar Uygulamaları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GLP — İyi Laboratuvar Uygulamaları, Güvenli, Tutarlı ve Geriye İzlenebilir Test Çalışmaları alanında Laboratuvar, Ar-Ge ve QA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GLP — İyi Laboratuvar Uygulamaları, kuruluşların Güvenli, Tutarlı ve Geriye İzlenebilir Test Çalışmaları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SOP: Standart Operasyon Prosedürü.</w:t>
      </w:r>
    </w:p>
    <w:p>
      <w:pPr>
        <w:pStyle w:val="ListeParagraf"/>
        <w:spacing w:after="60"/>
        <w:ind w:left="397"/>
      </w:pPr>
      <w:r>
        <w:rPr>
          <w:rFonts w:ascii="Calibri" w:hAnsi="Calibri"/>
          <w:color w:val="1F2A37"/>
          <w:sz w:val="22"/>
        </w:rPr>
        <w:t>•  Protokol: Çalışmanın yazılı planı.</w:t>
      </w:r>
    </w:p>
    <w:p>
      <w:pPr>
        <w:pStyle w:val="ListeParagraf"/>
        <w:spacing w:after="60"/>
        <w:ind w:left="397"/>
      </w:pPr>
      <w:r>
        <w:rPr>
          <w:rFonts w:ascii="Calibri" w:hAnsi="Calibri"/>
          <w:color w:val="1F2A37"/>
          <w:sz w:val="22"/>
        </w:rPr>
        <w:t>•  Çalışma Sorumlusu: Çalışmanın baş yöneticisi.</w:t>
      </w:r>
    </w:p>
    <w:p>
      <w:pPr>
        <w:pStyle w:val="ListeParagraf"/>
        <w:spacing w:after="60"/>
        <w:ind w:left="397"/>
      </w:pPr>
      <w:r>
        <w:rPr>
          <w:rFonts w:ascii="Calibri" w:hAnsi="Calibri"/>
          <w:color w:val="1F2A37"/>
          <w:sz w:val="22"/>
        </w:rPr>
        <w:t>•  QA: Quality Assurance — kalite güvence birimi.</w:t>
      </w:r>
    </w:p>
    <w:p>
      <w:pPr>
        <w:pStyle w:val="ListeParagraf"/>
        <w:spacing w:after="60"/>
        <w:ind w:left="397"/>
      </w:pPr>
      <w:r>
        <w:rPr>
          <w:rFonts w:ascii="Calibri" w:hAnsi="Calibri"/>
          <w:color w:val="1F2A37"/>
          <w:sz w:val="22"/>
        </w:rPr>
        <w:t>•  Ham Veri: İlk kaydedilen, değiştirilmemiş veri.</w:t>
      </w:r>
    </w:p>
    <w:p>
      <w:pPr>
        <w:pStyle w:val="ListeParagraf"/>
        <w:spacing w:after="60"/>
        <w:ind w:left="397"/>
      </w:pPr>
      <w:r>
        <w:rPr>
          <w:rFonts w:ascii="Calibri" w:hAnsi="Calibri"/>
          <w:color w:val="1F2A37"/>
          <w:sz w:val="22"/>
        </w:rPr>
        <w:t>•  Arşiv: Verilerin uzun süreli saklama yeri.</w:t>
      </w:r>
    </w:p>
    <w:p>
      <w:pPr>
        <w:pStyle w:val="ListeParagraf"/>
        <w:spacing w:after="60"/>
        <w:ind w:left="397"/>
      </w:pPr>
      <w:r>
        <w:rPr>
          <w:rFonts w:ascii="Calibri" w:hAnsi="Calibri"/>
          <w:color w:val="1F2A37"/>
          <w:sz w:val="22"/>
        </w:rPr>
        <w:t>•  İzlenebilirlik: Veri zincirinin geriye doğru takip edilebilirliği.</w:t>
      </w:r>
    </w:p>
    <w:p>
      <w:pPr>
        <w:pStyle w:val="ListeParagraf"/>
        <w:spacing w:after="60"/>
        <w:ind w:left="397"/>
      </w:pPr>
      <w:r>
        <w:rPr>
          <w:rFonts w:ascii="Calibri" w:hAnsi="Calibri"/>
          <w:color w:val="1F2A37"/>
          <w:sz w:val="22"/>
        </w:rPr>
        <w:t>•  Test Maddesi: Çalışmada test edilen madde.</w:t>
      </w:r>
    </w:p>
    <w:p>
      <w:pPr>
        <w:pStyle w:val="ListeParagraf"/>
        <w:spacing w:after="60"/>
        <w:ind w:left="397"/>
      </w:pPr>
      <w:r>
        <w:rPr>
          <w:rFonts w:ascii="Calibri" w:hAnsi="Calibri"/>
          <w:color w:val="1F2A37"/>
          <w:sz w:val="22"/>
        </w:rPr>
        <w:t>•  Referans Madde: Karşılaştırma maddesi.</w:t>
      </w:r>
    </w:p>
    <w:p>
      <w:pPr>
        <w:pStyle w:val="ListeParagraf"/>
        <w:spacing w:after="60"/>
        <w:ind w:left="397"/>
      </w:pPr>
      <w:r>
        <w:rPr>
          <w:rFonts w:ascii="Calibri" w:hAnsi="Calibri"/>
          <w:color w:val="1F2A37"/>
          <w:sz w:val="22"/>
        </w:rPr>
        <w:t>•  ALCOA+: Attributable, Legible, Contemporaneous, Original, Accurate + ek.</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1970'ler — FDA, GLP'nin temelini attı (toksikoloji skandalları sonrası).</w:t>
      </w:r>
    </w:p>
    <w:p>
      <w:pPr>
        <w:pStyle w:val="ListeParagraf"/>
        <w:spacing w:after="60"/>
        <w:ind w:left="397"/>
      </w:pPr>
      <w:r>
        <w:rPr>
          <w:rFonts w:ascii="Calibri" w:hAnsi="Calibri"/>
          <w:color w:val="1F2A37"/>
          <w:sz w:val="22"/>
        </w:rPr>
        <w:t>•  1981 — OECD GLP Prensipleri yayımlandı.</w:t>
      </w:r>
    </w:p>
    <w:p>
      <w:pPr>
        <w:pStyle w:val="ListeParagraf"/>
        <w:spacing w:after="60"/>
        <w:ind w:left="397"/>
      </w:pPr>
      <w:r>
        <w:rPr>
          <w:rFonts w:ascii="Calibri" w:hAnsi="Calibri"/>
          <w:color w:val="1F2A37"/>
          <w:sz w:val="22"/>
        </w:rPr>
        <w:t>•  1997 — Güncel OECD revizyonu.</w:t>
      </w:r>
    </w:p>
    <w:p>
      <w:pPr>
        <w:pStyle w:val="ListeParagraf"/>
        <w:spacing w:after="60"/>
        <w:ind w:left="397"/>
      </w:pPr>
      <w:r>
        <w:rPr>
          <w:rFonts w:ascii="Calibri" w:hAnsi="Calibri"/>
          <w:color w:val="1F2A37"/>
          <w:sz w:val="22"/>
        </w:rPr>
        <w:t>•  Bugün — Tarım kimyasalları, ilaç ve kozmetikte zorunlu.</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GLP — İyi Laboratuvar Uygulamaları'in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Çalışma Sorumlusu (Study Director)</w:t>
      </w:r>
    </w:p>
    <w:p>
      <w:pPr>
        <w:spacing w:before="0" w:after="120"/>
      </w:pPr>
      <w:r>
        <w:rPr>
          <w:rFonts w:ascii="Calibri" w:hAnsi="Calibri"/>
          <w:sz w:val="22"/>
        </w:rPr>
        <w:t>Her çalışmanın tek sorumlu yöneticisi vardır.</w:t>
      </w:r>
    </w:p>
    <w:p>
      <w:pPr>
        <w:pStyle w:val="Balk2"/>
        <w:spacing w:before="200" w:after="160"/>
      </w:pPr>
      <w:r>
        <w:rPr>
          <w:rFonts w:ascii="Calibri" w:hAnsi="Calibri"/>
        </w:rPr>
        <w:t>3.2  Kalite Güvence Birimi (QA)</w:t>
      </w:r>
    </w:p>
    <w:p>
      <w:pPr>
        <w:spacing w:before="0" w:after="120"/>
      </w:pPr>
      <w:r>
        <w:rPr>
          <w:rFonts w:ascii="Calibri" w:hAnsi="Calibri"/>
          <w:sz w:val="22"/>
        </w:rPr>
        <w:t>Bağımsız QA gözetimi.</w:t>
      </w:r>
    </w:p>
    <w:p>
      <w:pPr>
        <w:pStyle w:val="Balk2"/>
        <w:spacing w:before="200" w:after="160"/>
      </w:pPr>
      <w:r>
        <w:rPr>
          <w:rFonts w:ascii="Calibri" w:hAnsi="Calibri"/>
        </w:rPr>
        <w:t>3.3  Standart Operasyon Prosedürleri (SOP)</w:t>
      </w:r>
    </w:p>
    <w:p>
      <w:pPr>
        <w:spacing w:before="0" w:after="120"/>
      </w:pPr>
      <w:r>
        <w:rPr>
          <w:rFonts w:ascii="Calibri" w:hAnsi="Calibri"/>
          <w:sz w:val="22"/>
        </w:rPr>
        <w:t>Tüm aktiviteler SOP'larla yönetilir.</w:t>
      </w:r>
    </w:p>
    <w:p>
      <w:pPr>
        <w:pStyle w:val="Balk2"/>
        <w:spacing w:before="200" w:after="160"/>
      </w:pPr>
      <w:r>
        <w:rPr>
          <w:rFonts w:ascii="Calibri" w:hAnsi="Calibri"/>
        </w:rPr>
        <w:t>3.4  Çalışma Planı (Protokol)</w:t>
      </w:r>
    </w:p>
    <w:p>
      <w:pPr>
        <w:spacing w:before="0" w:after="120"/>
      </w:pPr>
      <w:r>
        <w:rPr>
          <w:rFonts w:ascii="Calibri" w:hAnsi="Calibri"/>
          <w:sz w:val="22"/>
        </w:rPr>
        <w:t>Çalışma öncesi onaylı plan.</w:t>
      </w:r>
    </w:p>
    <w:p>
      <w:pPr>
        <w:pStyle w:val="Balk2"/>
        <w:spacing w:before="200" w:after="160"/>
      </w:pPr>
      <w:r>
        <w:rPr>
          <w:rFonts w:ascii="Calibri" w:hAnsi="Calibri"/>
        </w:rPr>
        <w:t>3.5  Doğru Kayıt</w:t>
      </w:r>
    </w:p>
    <w:p>
      <w:pPr>
        <w:spacing w:before="0" w:after="120"/>
      </w:pPr>
      <w:r>
        <w:rPr>
          <w:rFonts w:ascii="Calibri" w:hAnsi="Calibri"/>
          <w:sz w:val="22"/>
        </w:rPr>
        <w:t>Eş zamanlı, okunaklı, izlenebilir.</w:t>
      </w:r>
    </w:p>
    <w:p>
      <w:pPr>
        <w:pStyle w:val="Balk2"/>
        <w:spacing w:before="200" w:after="160"/>
      </w:pPr>
      <w:r>
        <w:rPr>
          <w:rFonts w:ascii="Calibri" w:hAnsi="Calibri"/>
        </w:rPr>
        <w:t>3.6  Arşivleme</w:t>
      </w:r>
    </w:p>
    <w:p>
      <w:pPr>
        <w:spacing w:before="0" w:after="120"/>
      </w:pPr>
      <w:r>
        <w:rPr>
          <w:rFonts w:ascii="Calibri" w:hAnsi="Calibri"/>
          <w:sz w:val="22"/>
        </w:rPr>
        <w:t>Sonuçlar uzun süreli güvenli arşivde.</w:t>
      </w:r>
    </w:p>
    <w:p>
      <w:pPr>
        <w:pStyle w:val="Balk2"/>
        <w:spacing w:before="200" w:after="160"/>
      </w:pPr>
      <w:r>
        <w:rPr>
          <w:rFonts w:ascii="Calibri" w:hAnsi="Calibri"/>
        </w:rPr>
        <w:t>3.7  İmkânlar ve Ekipman</w:t>
      </w:r>
    </w:p>
    <w:p>
      <w:pPr>
        <w:spacing w:before="0" w:after="120"/>
      </w:pPr>
      <w:r>
        <w:rPr>
          <w:rFonts w:ascii="Calibri" w:hAnsi="Calibri"/>
          <w:sz w:val="22"/>
        </w:rPr>
        <w:t>Uygun tesis ve kalibre ekipman.</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SOP</w:t>
            </w:r>
          </w:p>
        </w:tc>
        <w:tc>
          <w:tcPr>
            <w:tcW w:type="dxa" w:w="4513"/>
            <w:shd w:fill="F4F6F9"/>
          </w:tcPr>
          <w:p>
            <w:r/>
            <w:r>
              <w:rPr>
                <w:rFonts w:ascii="Calibri" w:hAnsi="Calibri"/>
                <w:color w:val="1F2A37"/>
                <w:sz w:val="20"/>
              </w:rPr>
              <w:t>Standart Operasyon Prosedürü.</w:t>
            </w:r>
          </w:p>
        </w:tc>
      </w:tr>
      <w:tr>
        <w:tc>
          <w:tcPr>
            <w:tcW w:type="dxa" w:w="4513"/>
          </w:tcPr>
          <w:p>
            <w:r/>
            <w:r>
              <w:rPr>
                <w:rFonts w:ascii="Calibri" w:hAnsi="Calibri"/>
                <w:color w:val="1F2A37"/>
                <w:sz w:val="20"/>
              </w:rPr>
              <w:t>Protokol</w:t>
            </w:r>
          </w:p>
        </w:tc>
        <w:tc>
          <w:tcPr>
            <w:tcW w:type="dxa" w:w="4513"/>
          </w:tcPr>
          <w:p>
            <w:r/>
            <w:r>
              <w:rPr>
                <w:rFonts w:ascii="Calibri" w:hAnsi="Calibri"/>
                <w:color w:val="1F2A37"/>
                <w:sz w:val="20"/>
              </w:rPr>
              <w:t>Çalışmanın yazılı planı.</w:t>
            </w:r>
          </w:p>
        </w:tc>
      </w:tr>
      <w:tr>
        <w:tc>
          <w:tcPr>
            <w:tcW w:type="dxa" w:w="4513"/>
            <w:shd w:fill="F4F6F9"/>
          </w:tcPr>
          <w:p>
            <w:r/>
            <w:r>
              <w:rPr>
                <w:rFonts w:ascii="Calibri" w:hAnsi="Calibri"/>
                <w:color w:val="1F2A37"/>
                <w:sz w:val="20"/>
              </w:rPr>
              <w:t>Çalışma Sorumlusu</w:t>
            </w:r>
          </w:p>
        </w:tc>
        <w:tc>
          <w:tcPr>
            <w:tcW w:type="dxa" w:w="4513"/>
            <w:shd w:fill="F4F6F9"/>
          </w:tcPr>
          <w:p>
            <w:r/>
            <w:r>
              <w:rPr>
                <w:rFonts w:ascii="Calibri" w:hAnsi="Calibri"/>
                <w:color w:val="1F2A37"/>
                <w:sz w:val="20"/>
              </w:rPr>
              <w:t>Çalışmanın baş yöneticisi.</w:t>
            </w:r>
          </w:p>
        </w:tc>
      </w:tr>
      <w:tr>
        <w:tc>
          <w:tcPr>
            <w:tcW w:type="dxa" w:w="4513"/>
          </w:tcPr>
          <w:p>
            <w:r/>
            <w:r>
              <w:rPr>
                <w:rFonts w:ascii="Calibri" w:hAnsi="Calibri"/>
                <w:color w:val="1F2A37"/>
                <w:sz w:val="20"/>
              </w:rPr>
              <w:t>QA</w:t>
            </w:r>
          </w:p>
        </w:tc>
        <w:tc>
          <w:tcPr>
            <w:tcW w:type="dxa" w:w="4513"/>
          </w:tcPr>
          <w:p>
            <w:r/>
            <w:r>
              <w:rPr>
                <w:rFonts w:ascii="Calibri" w:hAnsi="Calibri"/>
                <w:color w:val="1F2A37"/>
                <w:sz w:val="20"/>
              </w:rPr>
              <w:t>Quality Assurance — kalite güvence birimi.</w:t>
            </w:r>
          </w:p>
        </w:tc>
      </w:tr>
      <w:tr>
        <w:tc>
          <w:tcPr>
            <w:tcW w:type="dxa" w:w="4513"/>
            <w:shd w:fill="F4F6F9"/>
          </w:tcPr>
          <w:p>
            <w:r/>
            <w:r>
              <w:rPr>
                <w:rFonts w:ascii="Calibri" w:hAnsi="Calibri"/>
                <w:color w:val="1F2A37"/>
                <w:sz w:val="20"/>
              </w:rPr>
              <w:t>Ham Veri</w:t>
            </w:r>
          </w:p>
        </w:tc>
        <w:tc>
          <w:tcPr>
            <w:tcW w:type="dxa" w:w="4513"/>
            <w:shd w:fill="F4F6F9"/>
          </w:tcPr>
          <w:p>
            <w:r/>
            <w:r>
              <w:rPr>
                <w:rFonts w:ascii="Calibri" w:hAnsi="Calibri"/>
                <w:color w:val="1F2A37"/>
                <w:sz w:val="20"/>
              </w:rPr>
              <w:t>İlk kaydedilen, değiştirilmemiş veri.</w:t>
            </w:r>
          </w:p>
        </w:tc>
      </w:tr>
      <w:tr>
        <w:tc>
          <w:tcPr>
            <w:tcW w:type="dxa" w:w="4513"/>
          </w:tcPr>
          <w:p>
            <w:r/>
            <w:r>
              <w:rPr>
                <w:rFonts w:ascii="Calibri" w:hAnsi="Calibri"/>
                <w:color w:val="1F2A37"/>
                <w:sz w:val="20"/>
              </w:rPr>
              <w:t>Arşiv</w:t>
            </w:r>
          </w:p>
        </w:tc>
        <w:tc>
          <w:tcPr>
            <w:tcW w:type="dxa" w:w="4513"/>
          </w:tcPr>
          <w:p>
            <w:r/>
            <w:r>
              <w:rPr>
                <w:rFonts w:ascii="Calibri" w:hAnsi="Calibri"/>
                <w:color w:val="1F2A37"/>
                <w:sz w:val="20"/>
              </w:rPr>
              <w:t>Verilerin uzun süreli saklama yeri.</w:t>
            </w:r>
          </w:p>
        </w:tc>
      </w:tr>
      <w:tr>
        <w:tc>
          <w:tcPr>
            <w:tcW w:type="dxa" w:w="4513"/>
            <w:shd w:fill="F4F6F9"/>
          </w:tcPr>
          <w:p>
            <w:r/>
            <w:r>
              <w:rPr>
                <w:rFonts w:ascii="Calibri" w:hAnsi="Calibri"/>
                <w:color w:val="1F2A37"/>
                <w:sz w:val="20"/>
              </w:rPr>
              <w:t>İzlenebilirlik</w:t>
            </w:r>
          </w:p>
        </w:tc>
        <w:tc>
          <w:tcPr>
            <w:tcW w:type="dxa" w:w="4513"/>
            <w:shd w:fill="F4F6F9"/>
          </w:tcPr>
          <w:p>
            <w:r/>
            <w:r>
              <w:rPr>
                <w:rFonts w:ascii="Calibri" w:hAnsi="Calibri"/>
                <w:color w:val="1F2A37"/>
                <w:sz w:val="20"/>
              </w:rPr>
              <w:t>Veri zincirinin geriye doğru takip edilebilirliği.</w:t>
            </w:r>
          </w:p>
        </w:tc>
      </w:tr>
      <w:tr>
        <w:tc>
          <w:tcPr>
            <w:tcW w:type="dxa" w:w="4513"/>
          </w:tcPr>
          <w:p>
            <w:r/>
            <w:r>
              <w:rPr>
                <w:rFonts w:ascii="Calibri" w:hAnsi="Calibri"/>
                <w:color w:val="1F2A37"/>
                <w:sz w:val="20"/>
              </w:rPr>
              <w:t>Test Maddesi</w:t>
            </w:r>
          </w:p>
        </w:tc>
        <w:tc>
          <w:tcPr>
            <w:tcW w:type="dxa" w:w="4513"/>
          </w:tcPr>
          <w:p>
            <w:r/>
            <w:r>
              <w:rPr>
                <w:rFonts w:ascii="Calibri" w:hAnsi="Calibri"/>
                <w:color w:val="1F2A37"/>
                <w:sz w:val="20"/>
              </w:rPr>
              <w:t>Çalışmada test edilen madde.</w:t>
            </w:r>
          </w:p>
        </w:tc>
      </w:tr>
      <w:tr>
        <w:tc>
          <w:tcPr>
            <w:tcW w:type="dxa" w:w="4513"/>
            <w:shd w:fill="F4F6F9"/>
          </w:tcPr>
          <w:p>
            <w:r/>
            <w:r>
              <w:rPr>
                <w:rFonts w:ascii="Calibri" w:hAnsi="Calibri"/>
                <w:color w:val="1F2A37"/>
                <w:sz w:val="20"/>
              </w:rPr>
              <w:t>Referans Madde</w:t>
            </w:r>
          </w:p>
        </w:tc>
        <w:tc>
          <w:tcPr>
            <w:tcW w:type="dxa" w:w="4513"/>
            <w:shd w:fill="F4F6F9"/>
          </w:tcPr>
          <w:p>
            <w:r/>
            <w:r>
              <w:rPr>
                <w:rFonts w:ascii="Calibri" w:hAnsi="Calibri"/>
                <w:color w:val="1F2A37"/>
                <w:sz w:val="20"/>
              </w:rPr>
              <w:t>Karşılaştırma maddesi.</w:t>
            </w:r>
          </w:p>
        </w:tc>
      </w:tr>
      <w:tr>
        <w:tc>
          <w:tcPr>
            <w:tcW w:type="dxa" w:w="4513"/>
          </w:tcPr>
          <w:p>
            <w:r/>
            <w:r>
              <w:rPr>
                <w:rFonts w:ascii="Calibri" w:hAnsi="Calibri"/>
                <w:color w:val="1F2A37"/>
                <w:sz w:val="20"/>
              </w:rPr>
              <w:t>ALCOA+</w:t>
            </w:r>
          </w:p>
        </w:tc>
        <w:tc>
          <w:tcPr>
            <w:tcW w:type="dxa" w:w="4513"/>
          </w:tcPr>
          <w:p>
            <w:r/>
            <w:r>
              <w:rPr>
                <w:rFonts w:ascii="Calibri" w:hAnsi="Calibri"/>
                <w:color w:val="1F2A37"/>
                <w:sz w:val="20"/>
              </w:rPr>
              <w:t>Attributable, Legible, Contemporaneous, Original, Accurate + ek.</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