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GMP — İyi Üretim Uygulamaları</w:t>
      </w:r>
    </w:p>
    <w:p>
      <w:pPr>
        <w:spacing w:before="0" w:after="80"/>
        <w:jc w:val="left"/>
      </w:pPr>
      <w:r>
        <w:rPr>
          <w:rFonts w:ascii="Calibri" w:hAnsi="Calibri"/>
          <w:color w:val="1F2A37"/>
          <w:sz w:val="40"/>
        </w:rPr>
        <w:t>Güvenli, Tutarlı ve Yasal Ürün Üretimi</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BE016</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İlaç, gıda, kozmetik, tıbbi cihaz üretim ekipleri</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GMP — İyi Üretim Uygulamaları standardı, kuruluşumuzun Güvenli, Tutarlı ve Yasal Ürün Üretimi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"Sürpriz, üretimde iyi haber değildir."</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GMP — İyi Üretim Uygulamaları standardı, kuruluşumuzun Güvenli, Tutarlı ve Yasal Ürün Üretimi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GMP — İyi Üretim Uygulamaları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GMP — İyi Üretim Uygulamaları, Güvenli, Tutarlı ve Yasal Ürün Üretimi alanında İlaç, gıda, kozmetik, tıbbi cihaz üretim ekipleri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GMP — İyi Üretim Uygulamaları, kuruluşların Güvenli, Tutarlı ve Yasal Ürün Üretimi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cGMP: Current Good Manufacturing Practice.</w:t>
      </w:r>
    </w:p>
    <w:p>
      <w:pPr>
        <w:pStyle w:val="ListeParagraf"/>
        <w:spacing w:after="60"/>
        <w:ind w:left="397"/>
      </w:pPr>
      <w:r>
        <w:rPr>
          <w:rFonts w:ascii="Calibri" w:hAnsi="Calibri"/>
          <w:color w:val="1F2A37"/>
          <w:sz w:val="22"/>
        </w:rPr>
        <w:t>•  Kalifikasyon: Ekipmanın gereklilikleri karşıladığının kanıtı (IQ/OQ/PQ).</w:t>
      </w:r>
    </w:p>
    <w:p>
      <w:pPr>
        <w:pStyle w:val="ListeParagraf"/>
        <w:spacing w:after="60"/>
        <w:ind w:left="397"/>
      </w:pPr>
      <w:r>
        <w:rPr>
          <w:rFonts w:ascii="Calibri" w:hAnsi="Calibri"/>
          <w:color w:val="1F2A37"/>
          <w:sz w:val="22"/>
        </w:rPr>
        <w:t>•  Validasyon: Sürecin sürekli gereklilikleri karşıladığının kanıtı.</w:t>
      </w:r>
    </w:p>
    <w:p>
      <w:pPr>
        <w:pStyle w:val="ListeParagraf"/>
        <w:spacing w:after="60"/>
        <w:ind w:left="397"/>
      </w:pPr>
      <w:r>
        <w:rPr>
          <w:rFonts w:ascii="Calibri" w:hAnsi="Calibri"/>
          <w:color w:val="1F2A37"/>
          <w:sz w:val="22"/>
        </w:rPr>
        <w:t>•  CAPA: Düzeltici ve Önleyici Faaliyet.</w:t>
      </w:r>
    </w:p>
    <w:p>
      <w:pPr>
        <w:pStyle w:val="ListeParagraf"/>
        <w:spacing w:after="60"/>
        <w:ind w:left="397"/>
      </w:pPr>
      <w:r>
        <w:rPr>
          <w:rFonts w:ascii="Calibri" w:hAnsi="Calibri"/>
          <w:color w:val="1F2A37"/>
          <w:sz w:val="22"/>
        </w:rPr>
        <w:t>•  Sapma (Deviation): Onaylı süreçten ayrılma.</w:t>
      </w:r>
    </w:p>
    <w:p>
      <w:pPr>
        <w:pStyle w:val="ListeParagraf"/>
        <w:spacing w:after="60"/>
        <w:ind w:left="397"/>
      </w:pPr>
      <w:r>
        <w:rPr>
          <w:rFonts w:ascii="Calibri" w:hAnsi="Calibri"/>
          <w:color w:val="1F2A37"/>
          <w:sz w:val="22"/>
        </w:rPr>
        <w:t>•  Batch Record: Üretim parti kaydı.</w:t>
      </w:r>
    </w:p>
    <w:p>
      <w:pPr>
        <w:pStyle w:val="ListeParagraf"/>
        <w:spacing w:after="60"/>
        <w:ind w:left="397"/>
      </w:pPr>
      <w:r>
        <w:rPr>
          <w:rFonts w:ascii="Calibri" w:hAnsi="Calibri"/>
          <w:color w:val="1F2A37"/>
          <w:sz w:val="22"/>
        </w:rPr>
        <w:t>•  APR/PQR: Yıllık ürün kalite gözden geçirme.</w:t>
      </w:r>
    </w:p>
    <w:p>
      <w:pPr>
        <w:pStyle w:val="ListeParagraf"/>
        <w:spacing w:after="60"/>
        <w:ind w:left="397"/>
      </w:pPr>
      <w:r>
        <w:rPr>
          <w:rFonts w:ascii="Calibri" w:hAnsi="Calibri"/>
          <w:color w:val="1F2A37"/>
          <w:sz w:val="22"/>
        </w:rPr>
        <w:t>•  İzlenebilirlik: Üründeki her bileşenin geriye dönük izlenebilirliği.</w:t>
      </w:r>
    </w:p>
    <w:p>
      <w:pPr>
        <w:pStyle w:val="ListeParagraf"/>
        <w:spacing w:after="60"/>
        <w:ind w:left="397"/>
      </w:pPr>
      <w:r>
        <w:rPr>
          <w:rFonts w:ascii="Calibri" w:hAnsi="Calibri"/>
          <w:color w:val="1F2A37"/>
          <w:sz w:val="22"/>
        </w:rPr>
        <w:t>•  Temizlik Validasyonu: Temizlik etkinliğinin kanıtı.</w:t>
      </w:r>
    </w:p>
    <w:p>
      <w:pPr>
        <w:pStyle w:val="ListeParagraf"/>
        <w:spacing w:after="60"/>
        <w:ind w:left="397"/>
      </w:pPr>
      <w:r>
        <w:rPr>
          <w:rFonts w:ascii="Calibri" w:hAnsi="Calibri"/>
          <w:color w:val="1F2A37"/>
          <w:sz w:val="22"/>
        </w:rPr>
        <w:t>•  Tedarikçi Niteliği: Onaylı tedarikçi sistemi.</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1962 — Thalidomide olayı sonrası ABD'de cGMP düzenlemeleri.</w:t>
      </w:r>
    </w:p>
    <w:p>
      <w:pPr>
        <w:pStyle w:val="ListeParagraf"/>
        <w:spacing w:after="60"/>
        <w:ind w:left="397"/>
      </w:pPr>
      <w:r>
        <w:rPr>
          <w:rFonts w:ascii="Calibri" w:hAnsi="Calibri"/>
          <w:color w:val="1F2A37"/>
          <w:sz w:val="22"/>
        </w:rPr>
        <w:t>•  1970'ler — WHO ve ICH süreçleri başladı.</w:t>
      </w:r>
    </w:p>
    <w:p>
      <w:pPr>
        <w:pStyle w:val="ListeParagraf"/>
        <w:spacing w:after="60"/>
        <w:ind w:left="397"/>
      </w:pPr>
      <w:r>
        <w:rPr>
          <w:rFonts w:ascii="Calibri" w:hAnsi="Calibri"/>
          <w:color w:val="1F2A37"/>
          <w:sz w:val="22"/>
        </w:rPr>
        <w:t>•  Bugün — FDA 21 CFR 210/211, EU Annex'ler, PIC/S, ICH Q7-Q10 yaygın referanslar.</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GMP — İyi Üretim Uygulamaları'in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Validasyon</w:t>
      </w:r>
    </w:p>
    <w:p>
      <w:pPr>
        <w:spacing w:before="0" w:after="120"/>
      </w:pPr>
      <w:r>
        <w:rPr>
          <w:rFonts w:ascii="Calibri" w:hAnsi="Calibri"/>
          <w:sz w:val="22"/>
        </w:rPr>
        <w:t>Süreç ve ekipman performansının kanıtlanması.</w:t>
      </w:r>
    </w:p>
    <w:p>
      <w:pPr>
        <w:pStyle w:val="Balk2"/>
        <w:spacing w:before="200" w:after="160"/>
      </w:pPr>
      <w:r>
        <w:rPr>
          <w:rFonts w:ascii="Calibri" w:hAnsi="Calibri"/>
        </w:rPr>
        <w:t>3.2  Kalite Birimi (QU)</w:t>
      </w:r>
    </w:p>
    <w:p>
      <w:pPr>
        <w:spacing w:before="0" w:after="120"/>
      </w:pPr>
      <w:r>
        <w:rPr>
          <w:rFonts w:ascii="Calibri" w:hAnsi="Calibri"/>
          <w:sz w:val="22"/>
        </w:rPr>
        <w:t>Bağımsız kalite onayı.</w:t>
      </w:r>
    </w:p>
    <w:p>
      <w:pPr>
        <w:pStyle w:val="Balk2"/>
        <w:spacing w:before="200" w:after="160"/>
      </w:pPr>
      <w:r>
        <w:rPr>
          <w:rFonts w:ascii="Calibri" w:hAnsi="Calibri"/>
        </w:rPr>
        <w:t>3.3  Çapraz Kontaminasyon Önleme</w:t>
      </w:r>
    </w:p>
    <w:p>
      <w:pPr>
        <w:spacing w:before="0" w:after="120"/>
      </w:pPr>
      <w:r>
        <w:rPr>
          <w:rFonts w:ascii="Calibri" w:hAnsi="Calibri"/>
          <w:sz w:val="22"/>
        </w:rPr>
        <w:t>Ürün, kişi, akış ayrımı.</w:t>
      </w:r>
    </w:p>
    <w:p>
      <w:pPr>
        <w:pStyle w:val="Balk2"/>
        <w:spacing w:before="200" w:after="160"/>
      </w:pPr>
      <w:r>
        <w:rPr>
          <w:rFonts w:ascii="Calibri" w:hAnsi="Calibri"/>
        </w:rPr>
        <w:t>3.4  Belgelendirme</w:t>
      </w:r>
    </w:p>
    <w:p>
      <w:pPr>
        <w:spacing w:before="0" w:after="120"/>
      </w:pPr>
      <w:r>
        <w:rPr>
          <w:rFonts w:ascii="Calibri" w:hAnsi="Calibri"/>
          <w:sz w:val="22"/>
        </w:rPr>
        <w:t>Yapılanın yazılması, yazılanın yapılması.</w:t>
      </w:r>
    </w:p>
    <w:p>
      <w:pPr>
        <w:pStyle w:val="Balk2"/>
        <w:spacing w:before="200" w:after="160"/>
      </w:pPr>
      <w:r>
        <w:rPr>
          <w:rFonts w:ascii="Calibri" w:hAnsi="Calibri"/>
        </w:rPr>
        <w:t>3.5  Yetkin Personel</w:t>
      </w:r>
    </w:p>
    <w:p>
      <w:pPr>
        <w:spacing w:before="0" w:after="120"/>
      </w:pPr>
      <w:r>
        <w:rPr>
          <w:rFonts w:ascii="Calibri" w:hAnsi="Calibri"/>
          <w:sz w:val="22"/>
        </w:rPr>
        <w:t>Eğitim ve hijyen kuralları.</w:t>
      </w:r>
    </w:p>
    <w:p>
      <w:pPr>
        <w:pStyle w:val="Balk2"/>
        <w:spacing w:before="200" w:after="160"/>
      </w:pPr>
      <w:r>
        <w:rPr>
          <w:rFonts w:ascii="Calibri" w:hAnsi="Calibri"/>
        </w:rPr>
        <w:t>3.6  Uygun Tesis ve Ekipman</w:t>
      </w:r>
    </w:p>
    <w:p>
      <w:pPr>
        <w:spacing w:before="0" w:after="120"/>
      </w:pPr>
      <w:r>
        <w:rPr>
          <w:rFonts w:ascii="Calibri" w:hAnsi="Calibri"/>
          <w:sz w:val="22"/>
        </w:rPr>
        <w:t>Tasarım, kalifikasyon, bakım.</w:t>
      </w:r>
    </w:p>
    <w:p>
      <w:pPr>
        <w:pStyle w:val="Balk2"/>
        <w:spacing w:before="200" w:after="160"/>
      </w:pPr>
      <w:r>
        <w:rPr>
          <w:rFonts w:ascii="Calibri" w:hAnsi="Calibri"/>
        </w:rPr>
        <w:t>3.7  Sürekli İyileştirme</w:t>
      </w:r>
    </w:p>
    <w:p>
      <w:pPr>
        <w:spacing w:before="0" w:after="120"/>
      </w:pPr>
      <w:r>
        <w:rPr>
          <w:rFonts w:ascii="Calibri" w:hAnsi="Calibri"/>
          <w:sz w:val="22"/>
        </w:rPr>
        <w:t>Sapma, CAPA, gözden geçirme.</w:t>
      </w:r>
    </w:p>
    <w:p>
      <w:pPr>
        <w:pStyle w:val="Balk2"/>
        <w:spacing w:before="200" w:after="160"/>
      </w:pPr>
      <w:r>
        <w:rPr>
          <w:rFonts w:ascii="Calibri" w:hAnsi="Calibri"/>
        </w:rPr>
        <w:t>3.8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cGMP</w:t>
            </w:r>
          </w:p>
        </w:tc>
        <w:tc>
          <w:tcPr>
            <w:tcW w:type="dxa" w:w="4513"/>
            <w:shd w:fill="F4F6F9"/>
          </w:tcPr>
          <w:p>
            <w:r/>
            <w:r>
              <w:rPr>
                <w:rFonts w:ascii="Calibri" w:hAnsi="Calibri"/>
                <w:color w:val="1F2A37"/>
                <w:sz w:val="20"/>
              </w:rPr>
              <w:t>Current Good Manufacturing Practice.</w:t>
            </w:r>
          </w:p>
        </w:tc>
      </w:tr>
      <w:tr>
        <w:tc>
          <w:tcPr>
            <w:tcW w:type="dxa" w:w="4513"/>
          </w:tcPr>
          <w:p>
            <w:r/>
            <w:r>
              <w:rPr>
                <w:rFonts w:ascii="Calibri" w:hAnsi="Calibri"/>
                <w:color w:val="1F2A37"/>
                <w:sz w:val="20"/>
              </w:rPr>
              <w:t>Kalifikasyon</w:t>
            </w:r>
          </w:p>
        </w:tc>
        <w:tc>
          <w:tcPr>
            <w:tcW w:type="dxa" w:w="4513"/>
          </w:tcPr>
          <w:p>
            <w:r/>
            <w:r>
              <w:rPr>
                <w:rFonts w:ascii="Calibri" w:hAnsi="Calibri"/>
                <w:color w:val="1F2A37"/>
                <w:sz w:val="20"/>
              </w:rPr>
              <w:t>Ekipmanın gereklilikleri karşıladığının kanıtı (IQ/OQ/PQ).</w:t>
            </w:r>
          </w:p>
        </w:tc>
      </w:tr>
      <w:tr>
        <w:tc>
          <w:tcPr>
            <w:tcW w:type="dxa" w:w="4513"/>
            <w:shd w:fill="F4F6F9"/>
          </w:tcPr>
          <w:p>
            <w:r/>
            <w:r>
              <w:rPr>
                <w:rFonts w:ascii="Calibri" w:hAnsi="Calibri"/>
                <w:color w:val="1F2A37"/>
                <w:sz w:val="20"/>
              </w:rPr>
              <w:t>Validasyon</w:t>
            </w:r>
          </w:p>
        </w:tc>
        <w:tc>
          <w:tcPr>
            <w:tcW w:type="dxa" w:w="4513"/>
            <w:shd w:fill="F4F6F9"/>
          </w:tcPr>
          <w:p>
            <w:r/>
            <w:r>
              <w:rPr>
                <w:rFonts w:ascii="Calibri" w:hAnsi="Calibri"/>
                <w:color w:val="1F2A37"/>
                <w:sz w:val="20"/>
              </w:rPr>
              <w:t>Sürecin sürekli gereklilikleri karşıladığının kanıtı.</w:t>
            </w:r>
          </w:p>
        </w:tc>
      </w:tr>
      <w:tr>
        <w:tc>
          <w:tcPr>
            <w:tcW w:type="dxa" w:w="4513"/>
          </w:tcPr>
          <w:p>
            <w:r/>
            <w:r>
              <w:rPr>
                <w:rFonts w:ascii="Calibri" w:hAnsi="Calibri"/>
                <w:color w:val="1F2A37"/>
                <w:sz w:val="20"/>
              </w:rPr>
              <w:t>CAPA</w:t>
            </w:r>
          </w:p>
        </w:tc>
        <w:tc>
          <w:tcPr>
            <w:tcW w:type="dxa" w:w="4513"/>
          </w:tcPr>
          <w:p>
            <w:r/>
            <w:r>
              <w:rPr>
                <w:rFonts w:ascii="Calibri" w:hAnsi="Calibri"/>
                <w:color w:val="1F2A37"/>
                <w:sz w:val="20"/>
              </w:rPr>
              <w:t>Düzeltici ve Önleyici Faaliyet.</w:t>
            </w:r>
          </w:p>
        </w:tc>
      </w:tr>
      <w:tr>
        <w:tc>
          <w:tcPr>
            <w:tcW w:type="dxa" w:w="4513"/>
            <w:shd w:fill="F4F6F9"/>
          </w:tcPr>
          <w:p>
            <w:r/>
            <w:r>
              <w:rPr>
                <w:rFonts w:ascii="Calibri" w:hAnsi="Calibri"/>
                <w:color w:val="1F2A37"/>
                <w:sz w:val="20"/>
              </w:rPr>
              <w:t>Sapma (Deviation)</w:t>
            </w:r>
          </w:p>
        </w:tc>
        <w:tc>
          <w:tcPr>
            <w:tcW w:type="dxa" w:w="4513"/>
            <w:shd w:fill="F4F6F9"/>
          </w:tcPr>
          <w:p>
            <w:r/>
            <w:r>
              <w:rPr>
                <w:rFonts w:ascii="Calibri" w:hAnsi="Calibri"/>
                <w:color w:val="1F2A37"/>
                <w:sz w:val="20"/>
              </w:rPr>
              <w:t>Onaylı süreçten ayrılma.</w:t>
            </w:r>
          </w:p>
        </w:tc>
      </w:tr>
      <w:tr>
        <w:tc>
          <w:tcPr>
            <w:tcW w:type="dxa" w:w="4513"/>
          </w:tcPr>
          <w:p>
            <w:r/>
            <w:r>
              <w:rPr>
                <w:rFonts w:ascii="Calibri" w:hAnsi="Calibri"/>
                <w:color w:val="1F2A37"/>
                <w:sz w:val="20"/>
              </w:rPr>
              <w:t>Batch Record</w:t>
            </w:r>
          </w:p>
        </w:tc>
        <w:tc>
          <w:tcPr>
            <w:tcW w:type="dxa" w:w="4513"/>
          </w:tcPr>
          <w:p>
            <w:r/>
            <w:r>
              <w:rPr>
                <w:rFonts w:ascii="Calibri" w:hAnsi="Calibri"/>
                <w:color w:val="1F2A37"/>
                <w:sz w:val="20"/>
              </w:rPr>
              <w:t>Üretim parti kaydı.</w:t>
            </w:r>
          </w:p>
        </w:tc>
      </w:tr>
      <w:tr>
        <w:tc>
          <w:tcPr>
            <w:tcW w:type="dxa" w:w="4513"/>
            <w:shd w:fill="F4F6F9"/>
          </w:tcPr>
          <w:p>
            <w:r/>
            <w:r>
              <w:rPr>
                <w:rFonts w:ascii="Calibri" w:hAnsi="Calibri"/>
                <w:color w:val="1F2A37"/>
                <w:sz w:val="20"/>
              </w:rPr>
              <w:t>APR/PQR</w:t>
            </w:r>
          </w:p>
        </w:tc>
        <w:tc>
          <w:tcPr>
            <w:tcW w:type="dxa" w:w="4513"/>
            <w:shd w:fill="F4F6F9"/>
          </w:tcPr>
          <w:p>
            <w:r/>
            <w:r>
              <w:rPr>
                <w:rFonts w:ascii="Calibri" w:hAnsi="Calibri"/>
                <w:color w:val="1F2A37"/>
                <w:sz w:val="20"/>
              </w:rPr>
              <w:t>Yıllık ürün kalite gözden geçirme.</w:t>
            </w:r>
          </w:p>
        </w:tc>
      </w:tr>
      <w:tr>
        <w:tc>
          <w:tcPr>
            <w:tcW w:type="dxa" w:w="4513"/>
          </w:tcPr>
          <w:p>
            <w:r/>
            <w:r>
              <w:rPr>
                <w:rFonts w:ascii="Calibri" w:hAnsi="Calibri"/>
                <w:color w:val="1F2A37"/>
                <w:sz w:val="20"/>
              </w:rPr>
              <w:t>İzlenebilirlik</w:t>
            </w:r>
          </w:p>
        </w:tc>
        <w:tc>
          <w:tcPr>
            <w:tcW w:type="dxa" w:w="4513"/>
          </w:tcPr>
          <w:p>
            <w:r/>
            <w:r>
              <w:rPr>
                <w:rFonts w:ascii="Calibri" w:hAnsi="Calibri"/>
                <w:color w:val="1F2A37"/>
                <w:sz w:val="20"/>
              </w:rPr>
              <w:t>Üründeki her bileşenin geriye dönük izlenebilirliği.</w:t>
            </w:r>
          </w:p>
        </w:tc>
      </w:tr>
      <w:tr>
        <w:tc>
          <w:tcPr>
            <w:tcW w:type="dxa" w:w="4513"/>
            <w:shd w:fill="F4F6F9"/>
          </w:tcPr>
          <w:p>
            <w:r/>
            <w:r>
              <w:rPr>
                <w:rFonts w:ascii="Calibri" w:hAnsi="Calibri"/>
                <w:color w:val="1F2A37"/>
                <w:sz w:val="20"/>
              </w:rPr>
              <w:t>Temizlik Validasyonu</w:t>
            </w:r>
          </w:p>
        </w:tc>
        <w:tc>
          <w:tcPr>
            <w:tcW w:type="dxa" w:w="4513"/>
            <w:shd w:fill="F4F6F9"/>
          </w:tcPr>
          <w:p>
            <w:r/>
            <w:r>
              <w:rPr>
                <w:rFonts w:ascii="Calibri" w:hAnsi="Calibri"/>
                <w:color w:val="1F2A37"/>
                <w:sz w:val="20"/>
              </w:rPr>
              <w:t>Temizlik etkinliğinin kanıtı.</w:t>
            </w:r>
          </w:p>
        </w:tc>
      </w:tr>
      <w:tr>
        <w:tc>
          <w:tcPr>
            <w:tcW w:type="dxa" w:w="4513"/>
          </w:tcPr>
          <w:p>
            <w:r/>
            <w:r>
              <w:rPr>
                <w:rFonts w:ascii="Calibri" w:hAnsi="Calibri"/>
                <w:color w:val="1F2A37"/>
                <w:sz w:val="20"/>
              </w:rPr>
              <w:t>Tedarikçi Niteliği</w:t>
            </w:r>
          </w:p>
        </w:tc>
        <w:tc>
          <w:tcPr>
            <w:tcW w:type="dxa" w:w="4513"/>
          </w:tcPr>
          <w:p>
            <w:r/>
            <w:r>
              <w:rPr>
                <w:rFonts w:ascii="Calibri" w:hAnsi="Calibri"/>
                <w:color w:val="1F2A37"/>
                <w:sz w:val="20"/>
              </w:rPr>
              <w:t>Onaylı tedarikçi sistemi.</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