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ISO 22000:2018</w:t>
      </w:r>
    </w:p>
    <w:p>
      <w:pPr>
        <w:spacing w:before="0" w:after="80"/>
        <w:jc w:val="left"/>
      </w:pPr>
      <w:r>
        <w:rPr>
          <w:rFonts w:ascii="Calibri" w:hAnsi="Calibri"/>
          <w:color w:val="1F2A37"/>
          <w:sz w:val="40"/>
        </w:rPr>
        <w:t>Gıda Güvenliği Yönetim Sistemi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BE002</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Gıda zinciri çalışanları, üretim ve kalite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ISO 22000:2018 standardı, kuruluşumuzun Gıda Güvenliği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"Güvenli gıda, tesadüf değil sistemin sonucudur."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ISO 22000:2018 standardı, kuruluşumuzun Gıda Güvenliği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ISO 22000:2018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ISO 22000:2018, Gıda Güvenliği Yönetim Sistemi alanında Gıda zinciri çalışanları, üretim ve kalite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ISO 22000:2018, kuruluşların Gıda Güvenliği Yönetim Sistemi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Gıda Güvenliği: Tüketim anında gıdanın tüketiciye zarar vermeyeceğinin güvencesi.</w:t>
      </w:r>
    </w:p>
    <w:p>
      <w:pPr>
        <w:pStyle w:val="ListeParagraf"/>
        <w:spacing w:after="60"/>
        <w:ind w:left="397"/>
      </w:pPr>
      <w:r>
        <w:rPr>
          <w:rFonts w:ascii="Calibri" w:hAnsi="Calibri"/>
          <w:color w:val="1F2A37"/>
          <w:sz w:val="22"/>
        </w:rPr>
        <w:t>•  Tehlike: Sağlığa olumsuz etki yapabilecek biyolojik, kimyasal, fiziksel veya alerjen etmen.</w:t>
      </w:r>
    </w:p>
    <w:p>
      <w:pPr>
        <w:pStyle w:val="ListeParagraf"/>
        <w:spacing w:after="60"/>
        <w:ind w:left="397"/>
      </w:pPr>
      <w:r>
        <w:rPr>
          <w:rFonts w:ascii="Calibri" w:hAnsi="Calibri"/>
          <w:color w:val="1F2A37"/>
          <w:sz w:val="22"/>
        </w:rPr>
        <w:t>•  Risk: Bir tehlikenin oluşma olasılığı ile etkisinin birleşimi.</w:t>
      </w:r>
    </w:p>
    <w:p>
      <w:pPr>
        <w:pStyle w:val="ListeParagraf"/>
        <w:spacing w:after="60"/>
        <w:ind w:left="397"/>
      </w:pPr>
      <w:r>
        <w:rPr>
          <w:rFonts w:ascii="Calibri" w:hAnsi="Calibri"/>
          <w:color w:val="1F2A37"/>
          <w:sz w:val="22"/>
        </w:rPr>
        <w:t>•  PRP: Ön gereksinim programları — hijyen, temizlik, altyapı.</w:t>
      </w:r>
    </w:p>
    <w:p>
      <w:pPr>
        <w:pStyle w:val="ListeParagraf"/>
        <w:spacing w:after="60"/>
        <w:ind w:left="397"/>
      </w:pPr>
      <w:r>
        <w:rPr>
          <w:rFonts w:ascii="Calibri" w:hAnsi="Calibri"/>
          <w:color w:val="1F2A37"/>
          <w:sz w:val="22"/>
        </w:rPr>
        <w:t>•  OPRP: Operasyonel önemli kontrol noktaları.</w:t>
      </w:r>
    </w:p>
    <w:p>
      <w:pPr>
        <w:pStyle w:val="ListeParagraf"/>
        <w:spacing w:after="60"/>
        <w:ind w:left="397"/>
      </w:pPr>
      <w:r>
        <w:rPr>
          <w:rFonts w:ascii="Calibri" w:hAnsi="Calibri"/>
          <w:color w:val="1F2A37"/>
          <w:sz w:val="22"/>
        </w:rPr>
        <w:t>•  KKN (CCP): Tehlikenin önlendiği veya kabul edilebilir düzeye indirildiği kritik nokta.</w:t>
      </w:r>
    </w:p>
    <w:p>
      <w:pPr>
        <w:pStyle w:val="ListeParagraf"/>
        <w:spacing w:after="60"/>
        <w:ind w:left="397"/>
      </w:pPr>
      <w:r>
        <w:rPr>
          <w:rFonts w:ascii="Calibri" w:hAnsi="Calibri"/>
          <w:color w:val="1F2A37"/>
          <w:sz w:val="22"/>
        </w:rPr>
        <w:t>•  HACCP: Hazard Analysis &amp; Critical Control Points — risk temelli gıda güvenliği yöntemi.</w:t>
      </w:r>
    </w:p>
    <w:p>
      <w:pPr>
        <w:pStyle w:val="ListeParagraf"/>
        <w:spacing w:after="60"/>
        <w:ind w:left="397"/>
      </w:pPr>
      <w:r>
        <w:rPr>
          <w:rFonts w:ascii="Calibri" w:hAnsi="Calibri"/>
          <w:color w:val="1F2A37"/>
          <w:sz w:val="22"/>
        </w:rPr>
        <w:t>•  Codex Alimentarius: FAO/WHO ortak gıda standartları derlemi.</w:t>
      </w:r>
    </w:p>
    <w:p>
      <w:pPr>
        <w:pStyle w:val="ListeParagraf"/>
        <w:spacing w:after="60"/>
        <w:ind w:left="397"/>
      </w:pPr>
      <w:r>
        <w:rPr>
          <w:rFonts w:ascii="Calibri" w:hAnsi="Calibri"/>
          <w:color w:val="1F2A37"/>
          <w:sz w:val="22"/>
        </w:rPr>
        <w:t>•  İzlenebilirlik: Üründeki her bileşenin tedarik zincirinde takip edilebilirliği.</w:t>
      </w:r>
    </w:p>
    <w:p>
      <w:pPr>
        <w:pStyle w:val="ListeParagraf"/>
        <w:spacing w:after="60"/>
        <w:ind w:left="397"/>
      </w:pPr>
      <w:r>
        <w:rPr>
          <w:rFonts w:ascii="Calibri" w:hAnsi="Calibri"/>
          <w:color w:val="1F2A37"/>
          <w:sz w:val="22"/>
        </w:rPr>
        <w:t>•  Geri Çağırma (Recall): Pazara çıkmış uygunsuz gıdanın geri çekilmesi süreci.</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1990'lar — Codex Alimentarius (FAO/WHO) HACCP'i resmî hâle getirir.</w:t>
      </w:r>
    </w:p>
    <w:p>
      <w:pPr>
        <w:pStyle w:val="ListeParagraf"/>
        <w:spacing w:after="60"/>
        <w:ind w:left="397"/>
      </w:pPr>
      <w:r>
        <w:rPr>
          <w:rFonts w:ascii="Calibri" w:hAnsi="Calibri"/>
          <w:color w:val="1F2A37"/>
          <w:sz w:val="22"/>
        </w:rPr>
        <w:t>•  2005 — ISO 22000 ilk sürümü yayımlanır.</w:t>
      </w:r>
    </w:p>
    <w:p>
      <w:pPr>
        <w:pStyle w:val="ListeParagraf"/>
        <w:spacing w:after="60"/>
        <w:ind w:left="397"/>
      </w:pPr>
      <w:r>
        <w:rPr>
          <w:rFonts w:ascii="Calibri" w:hAnsi="Calibri"/>
          <w:color w:val="1F2A37"/>
          <w:sz w:val="22"/>
        </w:rPr>
        <w:t>•  2018 — Annex SL üst yapısına uygun yeni revizyon.</w:t>
      </w:r>
    </w:p>
    <w:p>
      <w:pPr>
        <w:pStyle w:val="ListeParagraf"/>
        <w:spacing w:after="60"/>
        <w:ind w:left="397"/>
      </w:pPr>
      <w:r>
        <w:rPr>
          <w:rFonts w:ascii="Calibri" w:hAnsi="Calibri"/>
          <w:color w:val="1F2A37"/>
          <w:sz w:val="22"/>
        </w:rPr>
        <w:t>•  Bugün: 1.000.000+ kuruluş HACCP/ISO 22000 sistemleri uygulamaktadır.</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ISO 22000:2018'in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Tehlike Odaklılık</w:t>
      </w:r>
    </w:p>
    <w:p>
      <w:pPr>
        <w:spacing w:before="0" w:after="120"/>
      </w:pPr>
      <w:r>
        <w:rPr>
          <w:rFonts w:ascii="Calibri" w:hAnsi="Calibri"/>
          <w:sz w:val="22"/>
        </w:rPr>
        <w:t>Biyolojik, kimyasal, fiziksel ve alerjen tehlikeler sistemin merkezindedir.</w:t>
      </w:r>
    </w:p>
    <w:p>
      <w:pPr>
        <w:pStyle w:val="Balk2"/>
        <w:spacing w:before="200" w:after="160"/>
      </w:pPr>
      <w:r>
        <w:rPr>
          <w:rFonts w:ascii="Calibri" w:hAnsi="Calibri"/>
        </w:rPr>
        <w:t>3.2  Süreç Yaklaşımı</w:t>
      </w:r>
    </w:p>
    <w:p>
      <w:pPr>
        <w:spacing w:before="0" w:after="120"/>
      </w:pPr>
      <w:r>
        <w:rPr>
          <w:rFonts w:ascii="Calibri" w:hAnsi="Calibri"/>
          <w:sz w:val="22"/>
        </w:rPr>
        <w:t>Çiftlikten sofraya tüm zincir süreçler bütünü olarak ele alınır.</w:t>
      </w:r>
    </w:p>
    <w:p>
      <w:pPr>
        <w:pStyle w:val="Balk2"/>
        <w:spacing w:before="200" w:after="160"/>
      </w:pPr>
      <w:r>
        <w:rPr>
          <w:rFonts w:ascii="Calibri" w:hAnsi="Calibri"/>
        </w:rPr>
        <w:t>3.3  Risk Tabanlı Düşünce</w:t>
      </w:r>
    </w:p>
    <w:p>
      <w:pPr>
        <w:spacing w:before="0" w:after="120"/>
      </w:pPr>
      <w:r>
        <w:rPr>
          <w:rFonts w:ascii="Calibri" w:hAnsi="Calibri"/>
          <w:sz w:val="22"/>
        </w:rPr>
        <w:t>Olasılık × etki; iki seviyede (operasyonel ve iş riski) değerlendirilir.</w:t>
      </w:r>
    </w:p>
    <w:p>
      <w:pPr>
        <w:pStyle w:val="Balk2"/>
        <w:spacing w:before="200" w:after="160"/>
      </w:pPr>
      <w:r>
        <w:rPr>
          <w:rFonts w:ascii="Calibri" w:hAnsi="Calibri"/>
        </w:rPr>
        <w:t>3.4  İletişim</w:t>
      </w:r>
    </w:p>
    <w:p>
      <w:pPr>
        <w:spacing w:before="0" w:after="120"/>
      </w:pPr>
      <w:r>
        <w:rPr>
          <w:rFonts w:ascii="Calibri" w:hAnsi="Calibri"/>
          <w:sz w:val="22"/>
        </w:rPr>
        <w:t>Tedarikçi, müşteri, otorite ve iç paydaşlar arasında etkili bilgi akışı.</w:t>
      </w:r>
    </w:p>
    <w:p>
      <w:pPr>
        <w:pStyle w:val="Balk2"/>
        <w:spacing w:before="200" w:after="160"/>
      </w:pPr>
      <w:r>
        <w:rPr>
          <w:rFonts w:ascii="Calibri" w:hAnsi="Calibri"/>
        </w:rPr>
        <w:t>3.5  PRP/OPRP/KKN Hiyerarşisi</w:t>
      </w:r>
    </w:p>
    <w:p>
      <w:pPr>
        <w:spacing w:before="0" w:after="120"/>
      </w:pPr>
      <w:r>
        <w:rPr>
          <w:rFonts w:ascii="Calibri" w:hAnsi="Calibri"/>
          <w:sz w:val="22"/>
        </w:rPr>
        <w:t>Genel kontrol → operasyonel kontrol → kritik kontrol.</w:t>
      </w:r>
    </w:p>
    <w:p>
      <w:pPr>
        <w:pStyle w:val="Balk2"/>
        <w:spacing w:before="200" w:after="160"/>
      </w:pPr>
      <w:r>
        <w:rPr>
          <w:rFonts w:ascii="Calibri" w:hAnsi="Calibri"/>
        </w:rPr>
        <w:t>3.6  Sürekli İyileştirme</w:t>
      </w:r>
    </w:p>
    <w:p>
      <w:pPr>
        <w:spacing w:before="0" w:after="120"/>
      </w:pPr>
      <w:r>
        <w:rPr>
          <w:rFonts w:ascii="Calibri" w:hAnsi="Calibri"/>
          <w:sz w:val="22"/>
        </w:rPr>
        <w:t>PUKÖ döngüsü ve YGG ile sistematik gelişim.</w:t>
      </w:r>
    </w:p>
    <w:p>
      <w:pPr>
        <w:pStyle w:val="Balk2"/>
        <w:spacing w:before="200" w:after="160"/>
      </w:pPr>
      <w:r>
        <w:rPr>
          <w:rFonts w:ascii="Calibri" w:hAnsi="Calibri"/>
        </w:rPr>
        <w:t>3.7  Yasal Uyum</w:t>
      </w:r>
    </w:p>
    <w:p>
      <w:pPr>
        <w:spacing w:before="0" w:after="120"/>
      </w:pPr>
      <w:r>
        <w:rPr>
          <w:rFonts w:ascii="Calibri" w:hAnsi="Calibri"/>
          <w:sz w:val="22"/>
        </w:rPr>
        <w:t>Mevzuat ve müşteri şartlarının takibi ve karşılanması.</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Gıda Güvenliği</w:t>
            </w:r>
          </w:p>
        </w:tc>
        <w:tc>
          <w:tcPr>
            <w:tcW w:type="dxa" w:w="4513"/>
            <w:shd w:fill="F4F6F9"/>
          </w:tcPr>
          <w:p>
            <w:r/>
            <w:r>
              <w:rPr>
                <w:rFonts w:ascii="Calibri" w:hAnsi="Calibri"/>
                <w:color w:val="1F2A37"/>
                <w:sz w:val="20"/>
              </w:rPr>
              <w:t>Tüketim anında gıdanın tüketiciye zarar vermeyeceğinin güvencesi.</w:t>
            </w:r>
          </w:p>
        </w:tc>
      </w:tr>
      <w:tr>
        <w:tc>
          <w:tcPr>
            <w:tcW w:type="dxa" w:w="4513"/>
          </w:tcPr>
          <w:p>
            <w:r/>
            <w:r>
              <w:rPr>
                <w:rFonts w:ascii="Calibri" w:hAnsi="Calibri"/>
                <w:color w:val="1F2A37"/>
                <w:sz w:val="20"/>
              </w:rPr>
              <w:t>Tehlike</w:t>
            </w:r>
          </w:p>
        </w:tc>
        <w:tc>
          <w:tcPr>
            <w:tcW w:type="dxa" w:w="4513"/>
          </w:tcPr>
          <w:p>
            <w:r/>
            <w:r>
              <w:rPr>
                <w:rFonts w:ascii="Calibri" w:hAnsi="Calibri"/>
                <w:color w:val="1F2A37"/>
                <w:sz w:val="20"/>
              </w:rPr>
              <w:t>Sağlığa olumsuz etki yapabilecek biyolojik, kimyasal, fiziksel veya alerjen etmen.</w:t>
            </w:r>
          </w:p>
        </w:tc>
      </w:tr>
      <w:tr>
        <w:tc>
          <w:tcPr>
            <w:tcW w:type="dxa" w:w="4513"/>
            <w:shd w:fill="F4F6F9"/>
          </w:tcPr>
          <w:p>
            <w:r/>
            <w:r>
              <w:rPr>
                <w:rFonts w:ascii="Calibri" w:hAnsi="Calibri"/>
                <w:color w:val="1F2A37"/>
                <w:sz w:val="20"/>
              </w:rPr>
              <w:t>Risk</w:t>
            </w:r>
          </w:p>
        </w:tc>
        <w:tc>
          <w:tcPr>
            <w:tcW w:type="dxa" w:w="4513"/>
            <w:shd w:fill="F4F6F9"/>
          </w:tcPr>
          <w:p>
            <w:r/>
            <w:r>
              <w:rPr>
                <w:rFonts w:ascii="Calibri" w:hAnsi="Calibri"/>
                <w:color w:val="1F2A37"/>
                <w:sz w:val="20"/>
              </w:rPr>
              <w:t>Bir tehlikenin oluşma olasılığı ile etkisinin birleşimi.</w:t>
            </w:r>
          </w:p>
        </w:tc>
      </w:tr>
      <w:tr>
        <w:tc>
          <w:tcPr>
            <w:tcW w:type="dxa" w:w="4513"/>
          </w:tcPr>
          <w:p>
            <w:r/>
            <w:r>
              <w:rPr>
                <w:rFonts w:ascii="Calibri" w:hAnsi="Calibri"/>
                <w:color w:val="1F2A37"/>
                <w:sz w:val="20"/>
              </w:rPr>
              <w:t>PRP</w:t>
            </w:r>
          </w:p>
        </w:tc>
        <w:tc>
          <w:tcPr>
            <w:tcW w:type="dxa" w:w="4513"/>
          </w:tcPr>
          <w:p>
            <w:r/>
            <w:r>
              <w:rPr>
                <w:rFonts w:ascii="Calibri" w:hAnsi="Calibri"/>
                <w:color w:val="1F2A37"/>
                <w:sz w:val="20"/>
              </w:rPr>
              <w:t>Ön gereksinim programları — hijyen, temizlik, altyapı.</w:t>
            </w:r>
          </w:p>
        </w:tc>
      </w:tr>
      <w:tr>
        <w:tc>
          <w:tcPr>
            <w:tcW w:type="dxa" w:w="4513"/>
            <w:shd w:fill="F4F6F9"/>
          </w:tcPr>
          <w:p>
            <w:r/>
            <w:r>
              <w:rPr>
                <w:rFonts w:ascii="Calibri" w:hAnsi="Calibri"/>
                <w:color w:val="1F2A37"/>
                <w:sz w:val="20"/>
              </w:rPr>
              <w:t>OPRP</w:t>
            </w:r>
          </w:p>
        </w:tc>
        <w:tc>
          <w:tcPr>
            <w:tcW w:type="dxa" w:w="4513"/>
            <w:shd w:fill="F4F6F9"/>
          </w:tcPr>
          <w:p>
            <w:r/>
            <w:r>
              <w:rPr>
                <w:rFonts w:ascii="Calibri" w:hAnsi="Calibri"/>
                <w:color w:val="1F2A37"/>
                <w:sz w:val="20"/>
              </w:rPr>
              <w:t>Operasyonel önemli kontrol noktaları.</w:t>
            </w:r>
          </w:p>
        </w:tc>
      </w:tr>
      <w:tr>
        <w:tc>
          <w:tcPr>
            <w:tcW w:type="dxa" w:w="4513"/>
          </w:tcPr>
          <w:p>
            <w:r/>
            <w:r>
              <w:rPr>
                <w:rFonts w:ascii="Calibri" w:hAnsi="Calibri"/>
                <w:color w:val="1F2A37"/>
                <w:sz w:val="20"/>
              </w:rPr>
              <w:t>KKN (CCP)</w:t>
            </w:r>
          </w:p>
        </w:tc>
        <w:tc>
          <w:tcPr>
            <w:tcW w:type="dxa" w:w="4513"/>
          </w:tcPr>
          <w:p>
            <w:r/>
            <w:r>
              <w:rPr>
                <w:rFonts w:ascii="Calibri" w:hAnsi="Calibri"/>
                <w:color w:val="1F2A37"/>
                <w:sz w:val="20"/>
              </w:rPr>
              <w:t>Tehlikenin önlendiği veya kabul edilebilir düzeye indirildiği kritik nokta.</w:t>
            </w:r>
          </w:p>
        </w:tc>
      </w:tr>
      <w:tr>
        <w:tc>
          <w:tcPr>
            <w:tcW w:type="dxa" w:w="4513"/>
            <w:shd w:fill="F4F6F9"/>
          </w:tcPr>
          <w:p>
            <w:r/>
            <w:r>
              <w:rPr>
                <w:rFonts w:ascii="Calibri" w:hAnsi="Calibri"/>
                <w:color w:val="1F2A37"/>
                <w:sz w:val="20"/>
              </w:rPr>
              <w:t>HACCP</w:t>
            </w:r>
          </w:p>
        </w:tc>
        <w:tc>
          <w:tcPr>
            <w:tcW w:type="dxa" w:w="4513"/>
            <w:shd w:fill="F4F6F9"/>
          </w:tcPr>
          <w:p>
            <w:r/>
            <w:r>
              <w:rPr>
                <w:rFonts w:ascii="Calibri" w:hAnsi="Calibri"/>
                <w:color w:val="1F2A37"/>
                <w:sz w:val="20"/>
              </w:rPr>
              <w:t>Hazard Analysis &amp; Critical Control Points — risk temelli gıda güvenliği yöntemi.</w:t>
            </w:r>
          </w:p>
        </w:tc>
      </w:tr>
      <w:tr>
        <w:tc>
          <w:tcPr>
            <w:tcW w:type="dxa" w:w="4513"/>
          </w:tcPr>
          <w:p>
            <w:r/>
            <w:r>
              <w:rPr>
                <w:rFonts w:ascii="Calibri" w:hAnsi="Calibri"/>
                <w:color w:val="1F2A37"/>
                <w:sz w:val="20"/>
              </w:rPr>
              <w:t>Codex Alimentarius</w:t>
            </w:r>
          </w:p>
        </w:tc>
        <w:tc>
          <w:tcPr>
            <w:tcW w:type="dxa" w:w="4513"/>
          </w:tcPr>
          <w:p>
            <w:r/>
            <w:r>
              <w:rPr>
                <w:rFonts w:ascii="Calibri" w:hAnsi="Calibri"/>
                <w:color w:val="1F2A37"/>
                <w:sz w:val="20"/>
              </w:rPr>
              <w:t>FAO/WHO ortak gıda standartları derlemi.</w:t>
            </w:r>
          </w:p>
        </w:tc>
      </w:tr>
      <w:tr>
        <w:tc>
          <w:tcPr>
            <w:tcW w:type="dxa" w:w="4513"/>
            <w:shd w:fill="F4F6F9"/>
          </w:tcPr>
          <w:p>
            <w:r/>
            <w:r>
              <w:rPr>
                <w:rFonts w:ascii="Calibri" w:hAnsi="Calibri"/>
                <w:color w:val="1F2A37"/>
                <w:sz w:val="20"/>
              </w:rPr>
              <w:t>İzlenebilirlik</w:t>
            </w:r>
          </w:p>
        </w:tc>
        <w:tc>
          <w:tcPr>
            <w:tcW w:type="dxa" w:w="4513"/>
            <w:shd w:fill="F4F6F9"/>
          </w:tcPr>
          <w:p>
            <w:r/>
            <w:r>
              <w:rPr>
                <w:rFonts w:ascii="Calibri" w:hAnsi="Calibri"/>
                <w:color w:val="1F2A37"/>
                <w:sz w:val="20"/>
              </w:rPr>
              <w:t>Üründeki her bileşenin tedarik zincirinde takip edilebilirliği.</w:t>
            </w:r>
          </w:p>
        </w:tc>
      </w:tr>
      <w:tr>
        <w:tc>
          <w:tcPr>
            <w:tcW w:type="dxa" w:w="4513"/>
          </w:tcPr>
          <w:p>
            <w:r/>
            <w:r>
              <w:rPr>
                <w:rFonts w:ascii="Calibri" w:hAnsi="Calibri"/>
                <w:color w:val="1F2A37"/>
                <w:sz w:val="20"/>
              </w:rPr>
              <w:t>Geri Çağırma (Recall)</w:t>
            </w:r>
          </w:p>
        </w:tc>
        <w:tc>
          <w:tcPr>
            <w:tcW w:type="dxa" w:w="4513"/>
          </w:tcPr>
          <w:p>
            <w:r/>
            <w:r>
              <w:rPr>
                <w:rFonts w:ascii="Calibri" w:hAnsi="Calibri"/>
                <w:color w:val="1F2A37"/>
                <w:sz w:val="20"/>
              </w:rPr>
              <w:t>Pazara çıkmış uygunsuz gıdanın geri çekilmesi süreci.</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