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22525</w:t>
      </w:r>
    </w:p>
    <w:p>
      <w:pPr>
        <w:spacing w:before="0" w:after="80"/>
        <w:jc w:val="left"/>
      </w:pPr>
      <w:r>
        <w:rPr>
          <w:rFonts w:ascii="Calibri" w:hAnsi="Calibri"/>
          <w:color w:val="1F2A37"/>
          <w:sz w:val="40"/>
        </w:rPr>
        <w:t>Tarım ve Gıda Tedarik Zincirinde İzlenebilirlik</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BE020</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Tarım, gıda ve perakende tedarik zinciri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22525 standardı, kuruluşumuzun Tarım ve Gıda Tedarik Zincirinde İzlenebilirlik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"Tedarik zinciri ancak izlenebildiği kadar güvenlidir."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22525 standardı, kuruluşumuzun Tarım ve Gıda Tedarik Zincirinde İzlenebilirlik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22525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22525, Tarım ve Gıda Tedarik Zincirinde İzlenebilirlik alanında Tarım, gıda ve perakende tedarik zinciri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22525, kuruluşların Tarım ve Gıda Tedarik Zincirinde İzlenebilirlik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İzlenebilirlik: Üründeki her bileşenin tedarik zincirinde takibi.</w:t>
      </w:r>
    </w:p>
    <w:p>
      <w:pPr>
        <w:pStyle w:val="ListeParagraf"/>
        <w:spacing w:after="60"/>
        <w:ind w:left="397"/>
      </w:pPr>
      <w:r>
        <w:rPr>
          <w:rFonts w:ascii="Calibri" w:hAnsi="Calibri"/>
          <w:color w:val="1F2A37"/>
          <w:sz w:val="22"/>
        </w:rPr>
        <w:t>•  Lot/Parti: Aynı süreçten geçen ürün grubu.</w:t>
      </w:r>
    </w:p>
    <w:p>
      <w:pPr>
        <w:pStyle w:val="ListeParagraf"/>
        <w:spacing w:after="60"/>
        <w:ind w:left="397"/>
      </w:pPr>
      <w:r>
        <w:rPr>
          <w:rFonts w:ascii="Calibri" w:hAnsi="Calibri"/>
          <w:color w:val="1F2A37"/>
          <w:sz w:val="22"/>
        </w:rPr>
        <w:t>•  Geriye İzlenebilirlik: Müşteriden tedarikçiye doğru.</w:t>
      </w:r>
    </w:p>
    <w:p>
      <w:pPr>
        <w:pStyle w:val="ListeParagraf"/>
        <w:spacing w:after="60"/>
        <w:ind w:left="397"/>
      </w:pPr>
      <w:r>
        <w:rPr>
          <w:rFonts w:ascii="Calibri" w:hAnsi="Calibri"/>
          <w:color w:val="1F2A37"/>
          <w:sz w:val="22"/>
        </w:rPr>
        <w:t>•  İleriye İzlenebilirlik: Tedarikçiden müşteriye doğru.</w:t>
      </w:r>
    </w:p>
    <w:p>
      <w:pPr>
        <w:pStyle w:val="ListeParagraf"/>
        <w:spacing w:after="60"/>
        <w:ind w:left="397"/>
      </w:pPr>
      <w:r>
        <w:rPr>
          <w:rFonts w:ascii="Calibri" w:hAnsi="Calibri"/>
          <w:color w:val="1F2A37"/>
          <w:sz w:val="22"/>
        </w:rPr>
        <w:t>•  GS1: Küresel ürün ve lojistik kodlama sistemi.</w:t>
      </w:r>
    </w:p>
    <w:p>
      <w:pPr>
        <w:pStyle w:val="ListeParagraf"/>
        <w:spacing w:after="60"/>
        <w:ind w:left="397"/>
      </w:pPr>
      <w:r>
        <w:rPr>
          <w:rFonts w:ascii="Calibri" w:hAnsi="Calibri"/>
          <w:color w:val="1F2A37"/>
          <w:sz w:val="22"/>
        </w:rPr>
        <w:t>•  Geri Çağırma: Pazardan ürün geri alınması.</w:t>
      </w:r>
    </w:p>
    <w:p>
      <w:pPr>
        <w:pStyle w:val="ListeParagraf"/>
        <w:spacing w:after="60"/>
        <w:ind w:left="397"/>
      </w:pPr>
      <w:r>
        <w:rPr>
          <w:rFonts w:ascii="Calibri" w:hAnsi="Calibri"/>
          <w:color w:val="1F2A37"/>
          <w:sz w:val="22"/>
        </w:rPr>
        <w:t>•  Sürdürülebilirlik: Çevre, sosyal ve ekonomik üçlü.</w:t>
      </w:r>
    </w:p>
    <w:p>
      <w:pPr>
        <w:pStyle w:val="ListeParagraf"/>
        <w:spacing w:after="60"/>
        <w:ind w:left="397"/>
      </w:pPr>
      <w:r>
        <w:rPr>
          <w:rFonts w:ascii="Calibri" w:hAnsi="Calibri"/>
          <w:color w:val="1F2A37"/>
          <w:sz w:val="22"/>
        </w:rPr>
        <w:t>•  Gıda Sahtekarlığı: Etiketle gerçeğin uyuşmadığı durum.</w:t>
      </w:r>
    </w:p>
    <w:p>
      <w:pPr>
        <w:pStyle w:val="ListeParagraf"/>
        <w:spacing w:after="60"/>
        <w:ind w:left="397"/>
      </w:pPr>
      <w:r>
        <w:rPr>
          <w:rFonts w:ascii="Calibri" w:hAnsi="Calibri"/>
          <w:color w:val="1F2A37"/>
          <w:sz w:val="22"/>
        </w:rPr>
        <w:t>•  Sertifika: Belirli bir izlenebilirlik şemasına uyum belgesi.</w:t>
      </w:r>
    </w:p>
    <w:p>
      <w:pPr>
        <w:pStyle w:val="ListeParagraf"/>
        <w:spacing w:after="60"/>
        <w:ind w:left="397"/>
      </w:pPr>
      <w:r>
        <w:rPr>
          <w:rFonts w:ascii="Calibri" w:hAnsi="Calibri"/>
          <w:color w:val="1F2A37"/>
          <w:sz w:val="22"/>
        </w:rPr>
        <w:t>•  Veri Standardı: GS1, EPCIS gibi izleme veri standartları.</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İzlenebilirlik, ISO 22000 ve Codex Alimentarius'ta uzun süredir vardır.</w:t>
      </w:r>
    </w:p>
    <w:p>
      <w:pPr>
        <w:pStyle w:val="ListeParagraf"/>
        <w:spacing w:after="60"/>
        <w:ind w:left="397"/>
      </w:pPr>
      <w:r>
        <w:rPr>
          <w:rFonts w:ascii="Calibri" w:hAnsi="Calibri"/>
          <w:color w:val="1F2A37"/>
          <w:sz w:val="22"/>
        </w:rPr>
        <w:t>•  ISO 22525 — Tedarik zinciri izlenebilirliği için odaklı bir standart.</w:t>
      </w:r>
    </w:p>
    <w:p>
      <w:pPr>
        <w:pStyle w:val="ListeParagraf"/>
        <w:spacing w:after="60"/>
        <w:ind w:left="397"/>
      </w:pPr>
      <w:r>
        <w:rPr>
          <w:rFonts w:ascii="Calibri" w:hAnsi="Calibri"/>
          <w:color w:val="1F2A37"/>
          <w:sz w:val="22"/>
        </w:rPr>
        <w:t>•  Bugün — Sürdürülebilirlik, gıda dolandırıcılığı önleme ve menşe doğrulama için kritik.</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22525'in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Tanımlanabilirlik</w:t>
      </w:r>
    </w:p>
    <w:p>
      <w:pPr>
        <w:spacing w:before="0" w:after="120"/>
      </w:pPr>
      <w:r>
        <w:rPr>
          <w:rFonts w:ascii="Calibri" w:hAnsi="Calibri"/>
          <w:sz w:val="22"/>
        </w:rPr>
        <w:t>Her birimin benzersiz tanımlanması.</w:t>
      </w:r>
    </w:p>
    <w:p>
      <w:pPr>
        <w:pStyle w:val="Balk2"/>
        <w:spacing w:before="200" w:after="160"/>
      </w:pPr>
      <w:r>
        <w:rPr>
          <w:rFonts w:ascii="Calibri" w:hAnsi="Calibri"/>
        </w:rPr>
        <w:t>3.2  Veri Bütünlüğü</w:t>
      </w:r>
    </w:p>
    <w:p>
      <w:pPr>
        <w:spacing w:before="0" w:after="120"/>
      </w:pPr>
      <w:r>
        <w:rPr>
          <w:rFonts w:ascii="Calibri" w:hAnsi="Calibri"/>
          <w:sz w:val="22"/>
        </w:rPr>
        <w:t>Doğru, eksiksiz, güncel veri.</w:t>
      </w:r>
    </w:p>
    <w:p>
      <w:pPr>
        <w:pStyle w:val="Balk2"/>
        <w:spacing w:before="200" w:after="160"/>
      </w:pPr>
      <w:r>
        <w:rPr>
          <w:rFonts w:ascii="Calibri" w:hAnsi="Calibri"/>
        </w:rPr>
        <w:t>3.3  Zaman İz Kaydı</w:t>
      </w:r>
    </w:p>
    <w:p>
      <w:pPr>
        <w:spacing w:before="0" w:after="120"/>
      </w:pPr>
      <w:r>
        <w:rPr>
          <w:rFonts w:ascii="Calibri" w:hAnsi="Calibri"/>
          <w:sz w:val="22"/>
        </w:rPr>
        <w:t>Olaylar tarih/saat ile birlikte kaydedilir.</w:t>
      </w:r>
    </w:p>
    <w:p>
      <w:pPr>
        <w:pStyle w:val="Balk2"/>
        <w:spacing w:before="200" w:after="160"/>
      </w:pPr>
      <w:r>
        <w:rPr>
          <w:rFonts w:ascii="Calibri" w:hAnsi="Calibri"/>
        </w:rPr>
        <w:t>3.4  Geriye/İleriye İzleme</w:t>
      </w:r>
    </w:p>
    <w:p>
      <w:pPr>
        <w:spacing w:before="0" w:after="120"/>
      </w:pPr>
      <w:r>
        <w:rPr>
          <w:rFonts w:ascii="Calibri" w:hAnsi="Calibri"/>
          <w:sz w:val="22"/>
        </w:rPr>
        <w:t>Yukarı ve aşağı doğru izleme kabiliyeti.</w:t>
      </w:r>
    </w:p>
    <w:p>
      <w:pPr>
        <w:pStyle w:val="Balk2"/>
        <w:spacing w:before="200" w:after="160"/>
      </w:pPr>
      <w:r>
        <w:rPr>
          <w:rFonts w:ascii="Calibri" w:hAnsi="Calibri"/>
        </w:rPr>
        <w:t>3.5  Sahtelik Önleme</w:t>
      </w:r>
    </w:p>
    <w:p>
      <w:pPr>
        <w:spacing w:before="0" w:after="120"/>
      </w:pPr>
      <w:r>
        <w:rPr>
          <w:rFonts w:ascii="Calibri" w:hAnsi="Calibri"/>
          <w:sz w:val="22"/>
        </w:rPr>
        <w:t>Gıda dolandırıcılığına karşı önlemler.</w:t>
      </w:r>
    </w:p>
    <w:p>
      <w:pPr>
        <w:pStyle w:val="Balk2"/>
        <w:spacing w:before="200" w:after="160"/>
      </w:pPr>
      <w:r>
        <w:rPr>
          <w:rFonts w:ascii="Calibri" w:hAnsi="Calibri"/>
        </w:rPr>
        <w:t>3.6  Paylaşılan Veri Standartları</w:t>
      </w:r>
    </w:p>
    <w:p>
      <w:pPr>
        <w:spacing w:before="0" w:after="120"/>
      </w:pPr>
      <w:r>
        <w:rPr>
          <w:rFonts w:ascii="Calibri" w:hAnsi="Calibri"/>
          <w:sz w:val="22"/>
        </w:rPr>
        <w:t>GS1 vb. ortak kodlama.</w:t>
      </w:r>
    </w:p>
    <w:p>
      <w:pPr>
        <w:pStyle w:val="Balk2"/>
        <w:spacing w:before="200" w:after="160"/>
      </w:pPr>
      <w:r>
        <w:rPr>
          <w:rFonts w:ascii="Calibri" w:hAnsi="Calibri"/>
        </w:rPr>
        <w:t>3.7  Hızlı Yanıt</w:t>
      </w:r>
    </w:p>
    <w:p>
      <w:pPr>
        <w:spacing w:before="0" w:after="120"/>
      </w:pPr>
      <w:r>
        <w:rPr>
          <w:rFonts w:ascii="Calibri" w:hAnsi="Calibri"/>
          <w:sz w:val="22"/>
        </w:rPr>
        <w:t>Geri çağırma ve şikayette hız.</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İzlenebilirlik</w:t>
            </w:r>
          </w:p>
        </w:tc>
        <w:tc>
          <w:tcPr>
            <w:tcW w:type="dxa" w:w="4513"/>
            <w:shd w:fill="F4F6F9"/>
          </w:tcPr>
          <w:p>
            <w:r/>
            <w:r>
              <w:rPr>
                <w:rFonts w:ascii="Calibri" w:hAnsi="Calibri"/>
                <w:color w:val="1F2A37"/>
                <w:sz w:val="20"/>
              </w:rPr>
              <w:t>Üründeki her bileşenin tedarik zincirinde takibi.</w:t>
            </w:r>
          </w:p>
        </w:tc>
      </w:tr>
      <w:tr>
        <w:tc>
          <w:tcPr>
            <w:tcW w:type="dxa" w:w="4513"/>
          </w:tcPr>
          <w:p>
            <w:r/>
            <w:r>
              <w:rPr>
                <w:rFonts w:ascii="Calibri" w:hAnsi="Calibri"/>
                <w:color w:val="1F2A37"/>
                <w:sz w:val="20"/>
              </w:rPr>
              <w:t>Lot/Parti</w:t>
            </w:r>
          </w:p>
        </w:tc>
        <w:tc>
          <w:tcPr>
            <w:tcW w:type="dxa" w:w="4513"/>
          </w:tcPr>
          <w:p>
            <w:r/>
            <w:r>
              <w:rPr>
                <w:rFonts w:ascii="Calibri" w:hAnsi="Calibri"/>
                <w:color w:val="1F2A37"/>
                <w:sz w:val="20"/>
              </w:rPr>
              <w:t>Aynı süreçten geçen ürün grubu.</w:t>
            </w:r>
          </w:p>
        </w:tc>
      </w:tr>
      <w:tr>
        <w:tc>
          <w:tcPr>
            <w:tcW w:type="dxa" w:w="4513"/>
            <w:shd w:fill="F4F6F9"/>
          </w:tcPr>
          <w:p>
            <w:r/>
            <w:r>
              <w:rPr>
                <w:rFonts w:ascii="Calibri" w:hAnsi="Calibri"/>
                <w:color w:val="1F2A37"/>
                <w:sz w:val="20"/>
              </w:rPr>
              <w:t>Geriye İzlenebilirlik</w:t>
            </w:r>
          </w:p>
        </w:tc>
        <w:tc>
          <w:tcPr>
            <w:tcW w:type="dxa" w:w="4513"/>
            <w:shd w:fill="F4F6F9"/>
          </w:tcPr>
          <w:p>
            <w:r/>
            <w:r>
              <w:rPr>
                <w:rFonts w:ascii="Calibri" w:hAnsi="Calibri"/>
                <w:color w:val="1F2A37"/>
                <w:sz w:val="20"/>
              </w:rPr>
              <w:t>Müşteriden tedarikçiye doğru.</w:t>
            </w:r>
          </w:p>
        </w:tc>
      </w:tr>
      <w:tr>
        <w:tc>
          <w:tcPr>
            <w:tcW w:type="dxa" w:w="4513"/>
          </w:tcPr>
          <w:p>
            <w:r/>
            <w:r>
              <w:rPr>
                <w:rFonts w:ascii="Calibri" w:hAnsi="Calibri"/>
                <w:color w:val="1F2A37"/>
                <w:sz w:val="20"/>
              </w:rPr>
              <w:t>İleriye İzlenebilirlik</w:t>
            </w:r>
          </w:p>
        </w:tc>
        <w:tc>
          <w:tcPr>
            <w:tcW w:type="dxa" w:w="4513"/>
          </w:tcPr>
          <w:p>
            <w:r/>
            <w:r>
              <w:rPr>
                <w:rFonts w:ascii="Calibri" w:hAnsi="Calibri"/>
                <w:color w:val="1F2A37"/>
                <w:sz w:val="20"/>
              </w:rPr>
              <w:t>Tedarikçiden müşteriye doğru.</w:t>
            </w:r>
          </w:p>
        </w:tc>
      </w:tr>
      <w:tr>
        <w:tc>
          <w:tcPr>
            <w:tcW w:type="dxa" w:w="4513"/>
            <w:shd w:fill="F4F6F9"/>
          </w:tcPr>
          <w:p>
            <w:r/>
            <w:r>
              <w:rPr>
                <w:rFonts w:ascii="Calibri" w:hAnsi="Calibri"/>
                <w:color w:val="1F2A37"/>
                <w:sz w:val="20"/>
              </w:rPr>
              <w:t>GS1</w:t>
            </w:r>
          </w:p>
        </w:tc>
        <w:tc>
          <w:tcPr>
            <w:tcW w:type="dxa" w:w="4513"/>
            <w:shd w:fill="F4F6F9"/>
          </w:tcPr>
          <w:p>
            <w:r/>
            <w:r>
              <w:rPr>
                <w:rFonts w:ascii="Calibri" w:hAnsi="Calibri"/>
                <w:color w:val="1F2A37"/>
                <w:sz w:val="20"/>
              </w:rPr>
              <w:t>Küresel ürün ve lojistik kodlama sistemi.</w:t>
            </w:r>
          </w:p>
        </w:tc>
      </w:tr>
      <w:tr>
        <w:tc>
          <w:tcPr>
            <w:tcW w:type="dxa" w:w="4513"/>
          </w:tcPr>
          <w:p>
            <w:r/>
            <w:r>
              <w:rPr>
                <w:rFonts w:ascii="Calibri" w:hAnsi="Calibri"/>
                <w:color w:val="1F2A37"/>
                <w:sz w:val="20"/>
              </w:rPr>
              <w:t>Geri Çağırma</w:t>
            </w:r>
          </w:p>
        </w:tc>
        <w:tc>
          <w:tcPr>
            <w:tcW w:type="dxa" w:w="4513"/>
          </w:tcPr>
          <w:p>
            <w:r/>
            <w:r>
              <w:rPr>
                <w:rFonts w:ascii="Calibri" w:hAnsi="Calibri"/>
                <w:color w:val="1F2A37"/>
                <w:sz w:val="20"/>
              </w:rPr>
              <w:t>Pazardan ürün geri alınması.</w:t>
            </w:r>
          </w:p>
        </w:tc>
      </w:tr>
      <w:tr>
        <w:tc>
          <w:tcPr>
            <w:tcW w:type="dxa" w:w="4513"/>
            <w:shd w:fill="F4F6F9"/>
          </w:tcPr>
          <w:p>
            <w:r/>
            <w:r>
              <w:rPr>
                <w:rFonts w:ascii="Calibri" w:hAnsi="Calibri"/>
                <w:color w:val="1F2A37"/>
                <w:sz w:val="20"/>
              </w:rPr>
              <w:t>Sürdürülebilirlik</w:t>
            </w:r>
          </w:p>
        </w:tc>
        <w:tc>
          <w:tcPr>
            <w:tcW w:type="dxa" w:w="4513"/>
            <w:shd w:fill="F4F6F9"/>
          </w:tcPr>
          <w:p>
            <w:r/>
            <w:r>
              <w:rPr>
                <w:rFonts w:ascii="Calibri" w:hAnsi="Calibri"/>
                <w:color w:val="1F2A37"/>
                <w:sz w:val="20"/>
              </w:rPr>
              <w:t>Çevre, sosyal ve ekonomik üçlü.</w:t>
            </w:r>
          </w:p>
        </w:tc>
      </w:tr>
      <w:tr>
        <w:tc>
          <w:tcPr>
            <w:tcW w:type="dxa" w:w="4513"/>
          </w:tcPr>
          <w:p>
            <w:r/>
            <w:r>
              <w:rPr>
                <w:rFonts w:ascii="Calibri" w:hAnsi="Calibri"/>
                <w:color w:val="1F2A37"/>
                <w:sz w:val="20"/>
              </w:rPr>
              <w:t>Gıda Sahtekarlığı</w:t>
            </w:r>
          </w:p>
        </w:tc>
        <w:tc>
          <w:tcPr>
            <w:tcW w:type="dxa" w:w="4513"/>
          </w:tcPr>
          <w:p>
            <w:r/>
            <w:r>
              <w:rPr>
                <w:rFonts w:ascii="Calibri" w:hAnsi="Calibri"/>
                <w:color w:val="1F2A37"/>
                <w:sz w:val="20"/>
              </w:rPr>
              <w:t>Etiketle gerçeğin uyuşmadığı durum.</w:t>
            </w:r>
          </w:p>
        </w:tc>
      </w:tr>
      <w:tr>
        <w:tc>
          <w:tcPr>
            <w:tcW w:type="dxa" w:w="4513"/>
            <w:shd w:fill="F4F6F9"/>
          </w:tcPr>
          <w:p>
            <w:r/>
            <w:r>
              <w:rPr>
                <w:rFonts w:ascii="Calibri" w:hAnsi="Calibri"/>
                <w:color w:val="1F2A37"/>
                <w:sz w:val="20"/>
              </w:rPr>
              <w:t>Sertifika</w:t>
            </w:r>
          </w:p>
        </w:tc>
        <w:tc>
          <w:tcPr>
            <w:tcW w:type="dxa" w:w="4513"/>
            <w:shd w:fill="F4F6F9"/>
          </w:tcPr>
          <w:p>
            <w:r/>
            <w:r>
              <w:rPr>
                <w:rFonts w:ascii="Calibri" w:hAnsi="Calibri"/>
                <w:color w:val="1F2A37"/>
                <w:sz w:val="20"/>
              </w:rPr>
              <w:t>Belirli bir izlenebilirlik şemasına uyum belgesi.</w:t>
            </w:r>
          </w:p>
        </w:tc>
      </w:tr>
      <w:tr>
        <w:tc>
          <w:tcPr>
            <w:tcW w:type="dxa" w:w="4513"/>
          </w:tcPr>
          <w:p>
            <w:r/>
            <w:r>
              <w:rPr>
                <w:rFonts w:ascii="Calibri" w:hAnsi="Calibri"/>
                <w:color w:val="1F2A37"/>
                <w:sz w:val="20"/>
              </w:rPr>
              <w:t>Veri Standardı</w:t>
            </w:r>
          </w:p>
        </w:tc>
        <w:tc>
          <w:tcPr>
            <w:tcW w:type="dxa" w:w="4513"/>
          </w:tcPr>
          <w:p>
            <w:r/>
            <w:r>
              <w:rPr>
                <w:rFonts w:ascii="Calibri" w:hAnsi="Calibri"/>
                <w:color w:val="1F2A37"/>
                <w:sz w:val="20"/>
              </w:rPr>
              <w:t>GS1, EPCIS gibi izleme veri standartları.</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