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TS EN 14683</w:t>
      </w:r>
    </w:p>
    <w:p>
      <w:pPr>
        <w:spacing w:before="0" w:after="80"/>
        <w:jc w:val="left"/>
      </w:pPr>
      <w:r>
        <w:rPr>
          <w:rFonts w:ascii="Calibri" w:hAnsi="Calibri"/>
          <w:color w:val="1F2A37"/>
          <w:sz w:val="40"/>
        </w:rPr>
        <w:t>Tıbbi Yüz Maskeleri — Gereklilikler ve Test Yöntemleri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BE021</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Tıbbi maske üretici, kalite ve düzenleyici işler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TS EN 14683 standardı, kuruluşumuzun Tıbbi Yüz Maskeleri — Gereklilikler ve Test Yöntemleri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"Maske, kalitesi kadar koruyucudur."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TS EN 14683 standardı, kuruluşumuzun Tıbbi Yüz Maskeleri — Gereklilikler ve Test Yöntemleri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TS EN 14683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TS EN 14683, Tıbbi Yüz Maskeleri — Gereklilikler ve Test Yöntemleri alanında Tıbbi maske üretici, kalite ve düzenleyici işler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TS EN 14683, kuruluşların Tıbbi Yüz Maskeleri — Gereklilikler ve Test Yöntemleri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BFE: Bacterial Filtration Efficiency.</w:t>
      </w:r>
    </w:p>
    <w:p>
      <w:pPr>
        <w:pStyle w:val="ListeParagraf"/>
        <w:spacing w:after="60"/>
        <w:ind w:left="397"/>
      </w:pPr>
      <w:r>
        <w:rPr>
          <w:rFonts w:ascii="Calibri" w:hAnsi="Calibri"/>
          <w:color w:val="1F2A37"/>
          <w:sz w:val="22"/>
        </w:rPr>
        <w:t>•  PFE: Particle Filtration Efficiency (opsiyonel).</w:t>
      </w:r>
    </w:p>
    <w:p>
      <w:pPr>
        <w:pStyle w:val="ListeParagraf"/>
        <w:spacing w:after="60"/>
        <w:ind w:left="397"/>
      </w:pPr>
      <w:r>
        <w:rPr>
          <w:rFonts w:ascii="Calibri" w:hAnsi="Calibri"/>
          <w:color w:val="1F2A37"/>
          <w:sz w:val="22"/>
        </w:rPr>
        <w:t>•  ΔP: Solunum direnci (basınç farkı).</w:t>
      </w:r>
    </w:p>
    <w:p>
      <w:pPr>
        <w:pStyle w:val="ListeParagraf"/>
        <w:spacing w:after="60"/>
        <w:ind w:left="397"/>
      </w:pPr>
      <w:r>
        <w:rPr>
          <w:rFonts w:ascii="Calibri" w:hAnsi="Calibri"/>
          <w:color w:val="1F2A37"/>
          <w:sz w:val="22"/>
        </w:rPr>
        <w:t>•  Splash Resistance: Sıçrama direnci (Type IIR).</w:t>
      </w:r>
    </w:p>
    <w:p>
      <w:pPr>
        <w:pStyle w:val="ListeParagraf"/>
        <w:spacing w:after="60"/>
        <w:ind w:left="397"/>
      </w:pPr>
      <w:r>
        <w:rPr>
          <w:rFonts w:ascii="Calibri" w:hAnsi="Calibri"/>
          <w:color w:val="1F2A37"/>
          <w:sz w:val="22"/>
        </w:rPr>
        <w:t>•  Tip I: BFE ≥ 95%, sıçrama testi yok.</w:t>
      </w:r>
    </w:p>
    <w:p>
      <w:pPr>
        <w:pStyle w:val="ListeParagraf"/>
        <w:spacing w:after="60"/>
        <w:ind w:left="397"/>
      </w:pPr>
      <w:r>
        <w:rPr>
          <w:rFonts w:ascii="Calibri" w:hAnsi="Calibri"/>
          <w:color w:val="1F2A37"/>
          <w:sz w:val="22"/>
        </w:rPr>
        <w:t>•  Tip II: BFE ≥ 98%.</w:t>
      </w:r>
    </w:p>
    <w:p>
      <w:pPr>
        <w:pStyle w:val="ListeParagraf"/>
        <w:spacing w:after="60"/>
        <w:ind w:left="397"/>
      </w:pPr>
      <w:r>
        <w:rPr>
          <w:rFonts w:ascii="Calibri" w:hAnsi="Calibri"/>
          <w:color w:val="1F2A37"/>
          <w:sz w:val="22"/>
        </w:rPr>
        <w:t>•  Tip IIR: BFE ≥ 98% + sıçrama direnci.</w:t>
      </w:r>
    </w:p>
    <w:p>
      <w:pPr>
        <w:pStyle w:val="ListeParagraf"/>
        <w:spacing w:after="60"/>
        <w:ind w:left="397"/>
      </w:pPr>
      <w:r>
        <w:rPr>
          <w:rFonts w:ascii="Calibri" w:hAnsi="Calibri"/>
          <w:color w:val="1F2A37"/>
          <w:sz w:val="22"/>
        </w:rPr>
        <w:t>•  MDR: EU 2017/745 — tıbbi cihaz tüzüğü.</w:t>
      </w:r>
    </w:p>
    <w:p>
      <w:pPr>
        <w:pStyle w:val="ListeParagraf"/>
        <w:spacing w:after="60"/>
        <w:ind w:left="397"/>
      </w:pPr>
      <w:r>
        <w:rPr>
          <w:rFonts w:ascii="Calibri" w:hAnsi="Calibri"/>
          <w:color w:val="1F2A37"/>
          <w:sz w:val="22"/>
        </w:rPr>
        <w:t>•  Onaylanmış Kuruluş: MDR kapsamında değerlendirme yapan kurum.</w:t>
      </w:r>
    </w:p>
    <w:p>
      <w:pPr>
        <w:pStyle w:val="ListeParagraf"/>
        <w:spacing w:after="60"/>
        <w:ind w:left="397"/>
      </w:pPr>
      <w:r>
        <w:rPr>
          <w:rFonts w:ascii="Calibri" w:hAnsi="Calibri"/>
          <w:color w:val="1F2A37"/>
          <w:sz w:val="22"/>
        </w:rPr>
        <w:t>•  UDI: Unique Device Identification.</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2005 — EN 14683 ilk sürümü.</w:t>
      </w:r>
    </w:p>
    <w:p>
      <w:pPr>
        <w:pStyle w:val="ListeParagraf"/>
        <w:spacing w:after="60"/>
        <w:ind w:left="397"/>
      </w:pPr>
      <w:r>
        <w:rPr>
          <w:rFonts w:ascii="Calibri" w:hAnsi="Calibri"/>
          <w:color w:val="1F2A37"/>
          <w:sz w:val="22"/>
        </w:rPr>
        <w:t>•  2019 — Güncel sürümü yayımlandı.</w:t>
      </w:r>
    </w:p>
    <w:p>
      <w:pPr>
        <w:pStyle w:val="ListeParagraf"/>
        <w:spacing w:after="60"/>
        <w:ind w:left="397"/>
      </w:pPr>
      <w:r>
        <w:rPr>
          <w:rFonts w:ascii="Calibri" w:hAnsi="Calibri"/>
          <w:color w:val="1F2A37"/>
          <w:sz w:val="22"/>
        </w:rPr>
        <w:t>•  2020 — COVID-19 pandemisiyle standart küresel olarak ön plana çıktı.</w:t>
      </w:r>
    </w:p>
    <w:p>
      <w:pPr>
        <w:pStyle w:val="ListeParagraf"/>
        <w:spacing w:after="60"/>
        <w:ind w:left="397"/>
      </w:pPr>
      <w:r>
        <w:rPr>
          <w:rFonts w:ascii="Calibri" w:hAnsi="Calibri"/>
          <w:color w:val="1F2A37"/>
          <w:sz w:val="22"/>
        </w:rPr>
        <w:t>•  Bugün — Avrupa pazarında tıbbi maskenin temel referansıdır.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TS EN 14683'in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Bakteriyel Filtrasyon (BFE)</w:t>
      </w:r>
    </w:p>
    <w:p>
      <w:pPr>
        <w:spacing w:before="0" w:after="120"/>
      </w:pPr>
      <w:r>
        <w:rPr>
          <w:rFonts w:ascii="Calibri" w:hAnsi="Calibri"/>
          <w:sz w:val="22"/>
        </w:rPr>
        <w:t>Bakteri tutma performansı.</w:t>
      </w:r>
    </w:p>
    <w:p>
      <w:pPr>
        <w:pStyle w:val="Balk2"/>
        <w:spacing w:before="200" w:after="160"/>
      </w:pPr>
      <w:r>
        <w:rPr>
          <w:rFonts w:ascii="Calibri" w:hAnsi="Calibri"/>
        </w:rPr>
        <w:t>3.2  Solunum Direnci</w:t>
      </w:r>
    </w:p>
    <w:p>
      <w:pPr>
        <w:spacing w:before="0" w:after="120"/>
      </w:pPr>
      <w:r>
        <w:rPr>
          <w:rFonts w:ascii="Calibri" w:hAnsi="Calibri"/>
          <w:sz w:val="22"/>
        </w:rPr>
        <w:t>Nefes alma kolaylığı için basınç farkı.</w:t>
      </w:r>
    </w:p>
    <w:p>
      <w:pPr>
        <w:pStyle w:val="Balk2"/>
        <w:spacing w:before="200" w:after="160"/>
      </w:pPr>
      <w:r>
        <w:rPr>
          <w:rFonts w:ascii="Calibri" w:hAnsi="Calibri"/>
        </w:rPr>
        <w:t>3.3  Sıçramaya Direnç (Type IIR)</w:t>
      </w:r>
    </w:p>
    <w:p>
      <w:pPr>
        <w:spacing w:before="0" w:after="120"/>
      </w:pPr>
      <w:r>
        <w:rPr>
          <w:rFonts w:ascii="Calibri" w:hAnsi="Calibri"/>
          <w:sz w:val="22"/>
        </w:rPr>
        <w:t>Kan/sıvı sıçramasına karşı direnç.</w:t>
      </w:r>
    </w:p>
    <w:p>
      <w:pPr>
        <w:pStyle w:val="Balk2"/>
        <w:spacing w:before="200" w:after="160"/>
      </w:pPr>
      <w:r>
        <w:rPr>
          <w:rFonts w:ascii="Calibri" w:hAnsi="Calibri"/>
        </w:rPr>
        <w:t>3.4  Mikrobiyal Temizlik</w:t>
      </w:r>
    </w:p>
    <w:p>
      <w:pPr>
        <w:spacing w:before="0" w:after="120"/>
      </w:pPr>
      <w:r>
        <w:rPr>
          <w:rFonts w:ascii="Calibri" w:hAnsi="Calibri"/>
          <w:sz w:val="22"/>
        </w:rPr>
        <w:t>Mikroorganizma yükü sınırı.</w:t>
      </w:r>
    </w:p>
    <w:p>
      <w:pPr>
        <w:pStyle w:val="Balk2"/>
        <w:spacing w:before="200" w:after="160"/>
      </w:pPr>
      <w:r>
        <w:rPr>
          <w:rFonts w:ascii="Calibri" w:hAnsi="Calibri"/>
        </w:rPr>
        <w:t>3.5  Biyouyumluluk</w:t>
      </w:r>
    </w:p>
    <w:p>
      <w:pPr>
        <w:spacing w:before="0" w:after="120"/>
      </w:pPr>
      <w:r>
        <w:rPr>
          <w:rFonts w:ascii="Calibri" w:hAnsi="Calibri"/>
          <w:sz w:val="22"/>
        </w:rPr>
        <w:t>Ten teması için güvenli malzeme.</w:t>
      </w:r>
    </w:p>
    <w:p>
      <w:pPr>
        <w:pStyle w:val="Balk2"/>
        <w:spacing w:before="200" w:after="160"/>
      </w:pPr>
      <w:r>
        <w:rPr>
          <w:rFonts w:ascii="Calibri" w:hAnsi="Calibri"/>
        </w:rPr>
        <w:t>3.6  CE İşareti / MDR</w:t>
      </w:r>
    </w:p>
    <w:p>
      <w:pPr>
        <w:spacing w:before="0" w:after="120"/>
      </w:pPr>
      <w:r>
        <w:rPr>
          <w:rFonts w:ascii="Calibri" w:hAnsi="Calibri"/>
          <w:sz w:val="22"/>
        </w:rPr>
        <w:t>Pazara girişin yasal çerçevesi.</w:t>
      </w:r>
    </w:p>
    <w:p>
      <w:pPr>
        <w:pStyle w:val="Balk2"/>
        <w:spacing w:before="200" w:after="160"/>
      </w:pPr>
      <w:r>
        <w:rPr>
          <w:rFonts w:ascii="Calibri" w:hAnsi="Calibri"/>
        </w:rPr>
        <w:t>3.7  Doğru Etiketleme</w:t>
      </w:r>
    </w:p>
    <w:p>
      <w:pPr>
        <w:spacing w:before="0" w:after="120"/>
      </w:pPr>
      <w:r>
        <w:rPr>
          <w:rFonts w:ascii="Calibri" w:hAnsi="Calibri"/>
          <w:sz w:val="22"/>
        </w:rPr>
        <w:t>Tip (I, II, IIR), parti, tarih bilgileri.</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BFE</w:t>
            </w:r>
          </w:p>
        </w:tc>
        <w:tc>
          <w:tcPr>
            <w:tcW w:type="dxa" w:w="4513"/>
            <w:shd w:fill="F4F6F9"/>
          </w:tcPr>
          <w:p>
            <w:r/>
            <w:r>
              <w:rPr>
                <w:rFonts w:ascii="Calibri" w:hAnsi="Calibri"/>
                <w:color w:val="1F2A37"/>
                <w:sz w:val="20"/>
              </w:rPr>
              <w:t>Bacterial Filtration Efficiency.</w:t>
            </w:r>
          </w:p>
        </w:tc>
      </w:tr>
      <w:tr>
        <w:tc>
          <w:tcPr>
            <w:tcW w:type="dxa" w:w="4513"/>
          </w:tcPr>
          <w:p>
            <w:r/>
            <w:r>
              <w:rPr>
                <w:rFonts w:ascii="Calibri" w:hAnsi="Calibri"/>
                <w:color w:val="1F2A37"/>
                <w:sz w:val="20"/>
              </w:rPr>
              <w:t>PFE</w:t>
            </w:r>
          </w:p>
        </w:tc>
        <w:tc>
          <w:tcPr>
            <w:tcW w:type="dxa" w:w="4513"/>
          </w:tcPr>
          <w:p>
            <w:r/>
            <w:r>
              <w:rPr>
                <w:rFonts w:ascii="Calibri" w:hAnsi="Calibri"/>
                <w:color w:val="1F2A37"/>
                <w:sz w:val="20"/>
              </w:rPr>
              <w:t>Particle Filtration Efficiency (opsiyonel).</w:t>
            </w:r>
          </w:p>
        </w:tc>
      </w:tr>
      <w:tr>
        <w:tc>
          <w:tcPr>
            <w:tcW w:type="dxa" w:w="4513"/>
            <w:shd w:fill="F4F6F9"/>
          </w:tcPr>
          <w:p>
            <w:r/>
            <w:r>
              <w:rPr>
                <w:rFonts w:ascii="Calibri" w:hAnsi="Calibri"/>
                <w:color w:val="1F2A37"/>
                <w:sz w:val="20"/>
              </w:rPr>
              <w:t>ΔP</w:t>
            </w:r>
          </w:p>
        </w:tc>
        <w:tc>
          <w:tcPr>
            <w:tcW w:type="dxa" w:w="4513"/>
            <w:shd w:fill="F4F6F9"/>
          </w:tcPr>
          <w:p>
            <w:r/>
            <w:r>
              <w:rPr>
                <w:rFonts w:ascii="Calibri" w:hAnsi="Calibri"/>
                <w:color w:val="1F2A37"/>
                <w:sz w:val="20"/>
              </w:rPr>
              <w:t>Solunum direnci (basınç farkı).</w:t>
            </w:r>
          </w:p>
        </w:tc>
      </w:tr>
      <w:tr>
        <w:tc>
          <w:tcPr>
            <w:tcW w:type="dxa" w:w="4513"/>
          </w:tcPr>
          <w:p>
            <w:r/>
            <w:r>
              <w:rPr>
                <w:rFonts w:ascii="Calibri" w:hAnsi="Calibri"/>
                <w:color w:val="1F2A37"/>
                <w:sz w:val="20"/>
              </w:rPr>
              <w:t>Splash Resistance</w:t>
            </w:r>
          </w:p>
        </w:tc>
        <w:tc>
          <w:tcPr>
            <w:tcW w:type="dxa" w:w="4513"/>
          </w:tcPr>
          <w:p>
            <w:r/>
            <w:r>
              <w:rPr>
                <w:rFonts w:ascii="Calibri" w:hAnsi="Calibri"/>
                <w:color w:val="1F2A37"/>
                <w:sz w:val="20"/>
              </w:rPr>
              <w:t>Sıçrama direnci (Type IIR).</w:t>
            </w:r>
          </w:p>
        </w:tc>
      </w:tr>
      <w:tr>
        <w:tc>
          <w:tcPr>
            <w:tcW w:type="dxa" w:w="4513"/>
            <w:shd w:fill="F4F6F9"/>
          </w:tcPr>
          <w:p>
            <w:r/>
            <w:r>
              <w:rPr>
                <w:rFonts w:ascii="Calibri" w:hAnsi="Calibri"/>
                <w:color w:val="1F2A37"/>
                <w:sz w:val="20"/>
              </w:rPr>
              <w:t>Tip I</w:t>
            </w:r>
          </w:p>
        </w:tc>
        <w:tc>
          <w:tcPr>
            <w:tcW w:type="dxa" w:w="4513"/>
            <w:shd w:fill="F4F6F9"/>
          </w:tcPr>
          <w:p>
            <w:r/>
            <w:r>
              <w:rPr>
                <w:rFonts w:ascii="Calibri" w:hAnsi="Calibri"/>
                <w:color w:val="1F2A37"/>
                <w:sz w:val="20"/>
              </w:rPr>
              <w:t>BFE ≥ 95%, sıçrama testi yok.</w:t>
            </w:r>
          </w:p>
        </w:tc>
      </w:tr>
      <w:tr>
        <w:tc>
          <w:tcPr>
            <w:tcW w:type="dxa" w:w="4513"/>
          </w:tcPr>
          <w:p>
            <w:r/>
            <w:r>
              <w:rPr>
                <w:rFonts w:ascii="Calibri" w:hAnsi="Calibri"/>
                <w:color w:val="1F2A37"/>
                <w:sz w:val="20"/>
              </w:rPr>
              <w:t>Tip II</w:t>
            </w:r>
          </w:p>
        </w:tc>
        <w:tc>
          <w:tcPr>
            <w:tcW w:type="dxa" w:w="4513"/>
          </w:tcPr>
          <w:p>
            <w:r/>
            <w:r>
              <w:rPr>
                <w:rFonts w:ascii="Calibri" w:hAnsi="Calibri"/>
                <w:color w:val="1F2A37"/>
                <w:sz w:val="20"/>
              </w:rPr>
              <w:t>BFE ≥ 98%.</w:t>
            </w:r>
          </w:p>
        </w:tc>
      </w:tr>
      <w:tr>
        <w:tc>
          <w:tcPr>
            <w:tcW w:type="dxa" w:w="4513"/>
            <w:shd w:fill="F4F6F9"/>
          </w:tcPr>
          <w:p>
            <w:r/>
            <w:r>
              <w:rPr>
                <w:rFonts w:ascii="Calibri" w:hAnsi="Calibri"/>
                <w:color w:val="1F2A37"/>
                <w:sz w:val="20"/>
              </w:rPr>
              <w:t>Tip IIR</w:t>
            </w:r>
          </w:p>
        </w:tc>
        <w:tc>
          <w:tcPr>
            <w:tcW w:type="dxa" w:w="4513"/>
            <w:shd w:fill="F4F6F9"/>
          </w:tcPr>
          <w:p>
            <w:r/>
            <w:r>
              <w:rPr>
                <w:rFonts w:ascii="Calibri" w:hAnsi="Calibri"/>
                <w:color w:val="1F2A37"/>
                <w:sz w:val="20"/>
              </w:rPr>
              <w:t>BFE ≥ 98% + sıçrama direnci.</w:t>
            </w:r>
          </w:p>
        </w:tc>
      </w:tr>
      <w:tr>
        <w:tc>
          <w:tcPr>
            <w:tcW w:type="dxa" w:w="4513"/>
          </w:tcPr>
          <w:p>
            <w:r/>
            <w:r>
              <w:rPr>
                <w:rFonts w:ascii="Calibri" w:hAnsi="Calibri"/>
                <w:color w:val="1F2A37"/>
                <w:sz w:val="20"/>
              </w:rPr>
              <w:t>MDR</w:t>
            </w:r>
          </w:p>
        </w:tc>
        <w:tc>
          <w:tcPr>
            <w:tcW w:type="dxa" w:w="4513"/>
          </w:tcPr>
          <w:p>
            <w:r/>
            <w:r>
              <w:rPr>
                <w:rFonts w:ascii="Calibri" w:hAnsi="Calibri"/>
                <w:color w:val="1F2A37"/>
                <w:sz w:val="20"/>
              </w:rPr>
              <w:t>EU 2017/745 — tıbbi cihaz tüzüğü.</w:t>
            </w:r>
          </w:p>
        </w:tc>
      </w:tr>
      <w:tr>
        <w:tc>
          <w:tcPr>
            <w:tcW w:type="dxa" w:w="4513"/>
            <w:shd w:fill="F4F6F9"/>
          </w:tcPr>
          <w:p>
            <w:r/>
            <w:r>
              <w:rPr>
                <w:rFonts w:ascii="Calibri" w:hAnsi="Calibri"/>
                <w:color w:val="1F2A37"/>
                <w:sz w:val="20"/>
              </w:rPr>
              <w:t>Onaylanmış Kuruluş</w:t>
            </w:r>
          </w:p>
        </w:tc>
        <w:tc>
          <w:tcPr>
            <w:tcW w:type="dxa" w:w="4513"/>
            <w:shd w:fill="F4F6F9"/>
          </w:tcPr>
          <w:p>
            <w:r/>
            <w:r>
              <w:rPr>
                <w:rFonts w:ascii="Calibri" w:hAnsi="Calibri"/>
                <w:color w:val="1F2A37"/>
                <w:sz w:val="20"/>
              </w:rPr>
              <w:t>MDR kapsamında değerlendirme yapan kurum.</w:t>
            </w:r>
          </w:p>
        </w:tc>
      </w:tr>
      <w:tr>
        <w:tc>
          <w:tcPr>
            <w:tcW w:type="dxa" w:w="4513"/>
          </w:tcPr>
          <w:p>
            <w:r/>
            <w:r>
              <w:rPr>
                <w:rFonts w:ascii="Calibri" w:hAnsi="Calibri"/>
                <w:color w:val="1F2A37"/>
                <w:sz w:val="20"/>
              </w:rPr>
              <w:t>UDI</w:t>
            </w:r>
          </w:p>
        </w:tc>
        <w:tc>
          <w:tcPr>
            <w:tcW w:type="dxa" w:w="4513"/>
          </w:tcPr>
          <w:p>
            <w:r/>
            <w:r>
              <w:rPr>
                <w:rFonts w:ascii="Calibri" w:hAnsi="Calibri"/>
                <w:color w:val="1F2A37"/>
                <w:sz w:val="20"/>
              </w:rPr>
              <w:t>Unique Device Identification.</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