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14001:2015</w:t>
      </w:r>
    </w:p>
    <w:p>
      <w:pPr>
        <w:spacing w:before="0" w:after="80"/>
        <w:jc w:val="left"/>
      </w:pPr>
      <w:r>
        <w:rPr>
          <w:rFonts w:ascii="Calibri" w:hAnsi="Calibri"/>
          <w:color w:val="1F2A37"/>
          <w:sz w:val="40"/>
        </w:rPr>
        <w:t>Çevre Yönetim Sistemi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BE003</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Tüm çalışanlar, çevre/HSE ve operasyon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14001:2015 standardı, kuruluşumuzun Çevre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"Çevre, gelecek nesillerden ödünç aldığımız bir mirastır."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14001:2015 standardı, kuruluşumuzun Çevre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14001:2015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14001:2015, Çevre Yönetim Sistemi alanında Tüm çalışanlar, çevre/HSE ve operasyon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14001:2015, kuruluşların Çevre Yönetim Sistemi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Çevresel Boyut: Bir kuruluşun ürünleri ve faaliyetlerinin çevre ile etkileşim noktası.</w:t>
      </w:r>
    </w:p>
    <w:p>
      <w:pPr>
        <w:pStyle w:val="ListeParagraf"/>
        <w:spacing w:after="60"/>
        <w:ind w:left="397"/>
      </w:pPr>
      <w:r>
        <w:rPr>
          <w:rFonts w:ascii="Calibri" w:hAnsi="Calibri"/>
          <w:color w:val="1F2A37"/>
          <w:sz w:val="22"/>
        </w:rPr>
        <w:t>•  Çevresel Etki: Çevresel boyutun yarattığı değişiklik.</w:t>
      </w:r>
    </w:p>
    <w:p>
      <w:pPr>
        <w:pStyle w:val="ListeParagraf"/>
        <w:spacing w:after="60"/>
        <w:ind w:left="397"/>
      </w:pPr>
      <w:r>
        <w:rPr>
          <w:rFonts w:ascii="Calibri" w:hAnsi="Calibri"/>
          <w:color w:val="1F2A37"/>
          <w:sz w:val="22"/>
        </w:rPr>
        <w:t>•  Önemli Çevresel Boyut: Belirgin etkisi olduğu için yönetim sisteminde önceliklendirilen boyut.</w:t>
      </w:r>
    </w:p>
    <w:p>
      <w:pPr>
        <w:pStyle w:val="ListeParagraf"/>
        <w:spacing w:after="60"/>
        <w:ind w:left="397"/>
      </w:pPr>
      <w:r>
        <w:rPr>
          <w:rFonts w:ascii="Calibri" w:hAnsi="Calibri"/>
          <w:color w:val="1F2A37"/>
          <w:sz w:val="22"/>
        </w:rPr>
        <w:t>•  Yaşam Döngüsü: Hammadde tedarikinden bertarafa kadar ürün/hizmet aşamaları.</w:t>
      </w:r>
    </w:p>
    <w:p>
      <w:pPr>
        <w:pStyle w:val="ListeParagraf"/>
        <w:spacing w:after="60"/>
        <w:ind w:left="397"/>
      </w:pPr>
      <w:r>
        <w:rPr>
          <w:rFonts w:ascii="Calibri" w:hAnsi="Calibri"/>
          <w:color w:val="1F2A37"/>
          <w:sz w:val="22"/>
        </w:rPr>
        <w:t>•  Uyum Yükümlülüğü: Yasal ve gönüllü gereklilikler.</w:t>
      </w:r>
    </w:p>
    <w:p>
      <w:pPr>
        <w:pStyle w:val="ListeParagraf"/>
        <w:spacing w:after="60"/>
        <w:ind w:left="397"/>
      </w:pPr>
      <w:r>
        <w:rPr>
          <w:rFonts w:ascii="Calibri" w:hAnsi="Calibri"/>
          <w:color w:val="1F2A37"/>
          <w:sz w:val="22"/>
        </w:rPr>
        <w:t>•  Çevre Politikası: Üst yönetim taahhüdü.</w:t>
      </w:r>
    </w:p>
    <w:p>
      <w:pPr>
        <w:pStyle w:val="ListeParagraf"/>
        <w:spacing w:after="60"/>
        <w:ind w:left="397"/>
      </w:pPr>
      <w:r>
        <w:rPr>
          <w:rFonts w:ascii="Calibri" w:hAnsi="Calibri"/>
          <w:color w:val="1F2A37"/>
          <w:sz w:val="22"/>
        </w:rPr>
        <w:t>•  Kirletici: Çevreye olumsuz etki yapabilecek madde veya enerji.</w:t>
      </w:r>
    </w:p>
    <w:p>
      <w:pPr>
        <w:pStyle w:val="ListeParagraf"/>
        <w:spacing w:after="60"/>
        <w:ind w:left="397"/>
      </w:pPr>
      <w:r>
        <w:rPr>
          <w:rFonts w:ascii="Calibri" w:hAnsi="Calibri"/>
          <w:color w:val="1F2A37"/>
          <w:sz w:val="22"/>
        </w:rPr>
        <w:t>•  Atık Hiyerarşisi: Azaltma → tekrar kullanım → geri dönüşüm → enerji geri kazanım → bertaraf.</w:t>
      </w:r>
    </w:p>
    <w:p>
      <w:pPr>
        <w:pStyle w:val="ListeParagraf"/>
        <w:spacing w:after="60"/>
        <w:ind w:left="397"/>
      </w:pPr>
      <w:r>
        <w:rPr>
          <w:rFonts w:ascii="Calibri" w:hAnsi="Calibri"/>
          <w:color w:val="1F2A37"/>
          <w:sz w:val="22"/>
        </w:rPr>
        <w:t>•  Acil Durum Hazırlığı: Beklenmedik çevresel olaylara hazırlık ve müdahale.</w:t>
      </w:r>
    </w:p>
    <w:p>
      <w:pPr>
        <w:pStyle w:val="ListeParagraf"/>
        <w:spacing w:after="60"/>
        <w:ind w:left="397"/>
      </w:pPr>
      <w:r>
        <w:rPr>
          <w:rFonts w:ascii="Calibri" w:hAnsi="Calibri"/>
          <w:color w:val="1F2A37"/>
          <w:sz w:val="22"/>
        </w:rPr>
        <w:t>•  Karbon Ayak İzi: Bir faaliyet veya ürünün sera gazı salım toplamı.</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1992 — Rio Yeryüzü Zirvesi sürdürülebilirlik kavramını öne çıkardı.</w:t>
      </w:r>
    </w:p>
    <w:p>
      <w:pPr>
        <w:pStyle w:val="ListeParagraf"/>
        <w:spacing w:after="60"/>
        <w:ind w:left="397"/>
      </w:pPr>
      <w:r>
        <w:rPr>
          <w:rFonts w:ascii="Calibri" w:hAnsi="Calibri"/>
          <w:color w:val="1F2A37"/>
          <w:sz w:val="22"/>
        </w:rPr>
        <w:t>•  1996 — ISO 14001 ilk sürümü yayımlandı.</w:t>
      </w:r>
    </w:p>
    <w:p>
      <w:pPr>
        <w:pStyle w:val="ListeParagraf"/>
        <w:spacing w:after="60"/>
        <w:ind w:left="397"/>
      </w:pPr>
      <w:r>
        <w:rPr>
          <w:rFonts w:ascii="Calibri" w:hAnsi="Calibri"/>
          <w:color w:val="1F2A37"/>
          <w:sz w:val="22"/>
        </w:rPr>
        <w:t>•  2004 — Süreç yaklaşımı netleşti.</w:t>
      </w:r>
    </w:p>
    <w:p>
      <w:pPr>
        <w:pStyle w:val="ListeParagraf"/>
        <w:spacing w:after="60"/>
        <w:ind w:left="397"/>
      </w:pPr>
      <w:r>
        <w:rPr>
          <w:rFonts w:ascii="Calibri" w:hAnsi="Calibri"/>
          <w:color w:val="1F2A37"/>
          <w:sz w:val="22"/>
        </w:rPr>
        <w:t>•  2015 — Annex SL üst yapısına uygun, yaşam döngüsü perspektifli revizyon.</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14001:2015'in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Yaşam Döngüsü Bakışı</w:t>
      </w:r>
    </w:p>
    <w:p>
      <w:pPr>
        <w:spacing w:before="0" w:after="120"/>
      </w:pPr>
      <w:r>
        <w:rPr>
          <w:rFonts w:ascii="Calibri" w:hAnsi="Calibri"/>
          <w:sz w:val="22"/>
        </w:rPr>
        <w:t>Hammaddeden bertarafa kadar çevresel etkiler ele alınır.</w:t>
      </w:r>
    </w:p>
    <w:p>
      <w:pPr>
        <w:pStyle w:val="Balk2"/>
        <w:spacing w:before="200" w:after="160"/>
      </w:pPr>
      <w:r>
        <w:rPr>
          <w:rFonts w:ascii="Calibri" w:hAnsi="Calibri"/>
        </w:rPr>
        <w:t>3.2  Risk ve Fırsat Yaklaşımı</w:t>
      </w:r>
    </w:p>
    <w:p>
      <w:pPr>
        <w:spacing w:before="0" w:after="120"/>
      </w:pPr>
      <w:r>
        <w:rPr>
          <w:rFonts w:ascii="Calibri" w:hAnsi="Calibri"/>
          <w:sz w:val="22"/>
        </w:rPr>
        <w:t>Çevresel boyutlar risk yönetimiyle birlikte değerlendirilir.</w:t>
      </w:r>
    </w:p>
    <w:p>
      <w:pPr>
        <w:pStyle w:val="Balk2"/>
        <w:spacing w:before="200" w:after="160"/>
      </w:pPr>
      <w:r>
        <w:rPr>
          <w:rFonts w:ascii="Calibri" w:hAnsi="Calibri"/>
        </w:rPr>
        <w:t>3.3  Uyum Yükümlülüğü</w:t>
      </w:r>
    </w:p>
    <w:p>
      <w:pPr>
        <w:spacing w:before="0" w:after="120"/>
      </w:pPr>
      <w:r>
        <w:rPr>
          <w:rFonts w:ascii="Calibri" w:hAnsi="Calibri"/>
          <w:sz w:val="22"/>
        </w:rPr>
        <w:t>Yasal gereklilikler ve gönüllü taahhütler izlenir.</w:t>
      </w:r>
    </w:p>
    <w:p>
      <w:pPr>
        <w:pStyle w:val="Balk2"/>
        <w:spacing w:before="200" w:after="160"/>
      </w:pPr>
      <w:r>
        <w:rPr>
          <w:rFonts w:ascii="Calibri" w:hAnsi="Calibri"/>
        </w:rPr>
        <w:t>3.4  Liderlik</w:t>
      </w:r>
    </w:p>
    <w:p>
      <w:pPr>
        <w:spacing w:before="0" w:after="120"/>
      </w:pPr>
      <w:r>
        <w:rPr>
          <w:rFonts w:ascii="Calibri" w:hAnsi="Calibri"/>
          <w:sz w:val="22"/>
        </w:rPr>
        <w:t>Üst yönetimin çevre politikasına somut sahipliği.</w:t>
      </w:r>
    </w:p>
    <w:p>
      <w:pPr>
        <w:pStyle w:val="Balk2"/>
        <w:spacing w:before="200" w:after="160"/>
      </w:pPr>
      <w:r>
        <w:rPr>
          <w:rFonts w:ascii="Calibri" w:hAnsi="Calibri"/>
        </w:rPr>
        <w:t>3.5  Sürekli İyileştirme</w:t>
      </w:r>
    </w:p>
    <w:p>
      <w:pPr>
        <w:spacing w:before="0" w:after="120"/>
      </w:pPr>
      <w:r>
        <w:rPr>
          <w:rFonts w:ascii="Calibri" w:hAnsi="Calibri"/>
          <w:sz w:val="22"/>
        </w:rPr>
        <w:t>PUKÖ döngüsü ile sistematik iyileştirme.</w:t>
      </w:r>
    </w:p>
    <w:p>
      <w:pPr>
        <w:pStyle w:val="Balk2"/>
        <w:spacing w:before="200" w:after="160"/>
      </w:pPr>
      <w:r>
        <w:rPr>
          <w:rFonts w:ascii="Calibri" w:hAnsi="Calibri"/>
        </w:rPr>
        <w:t>3.6  Kirlenmenin Önlenmesi</w:t>
      </w:r>
    </w:p>
    <w:p>
      <w:pPr>
        <w:spacing w:before="0" w:after="120"/>
      </w:pPr>
      <w:r>
        <w:rPr>
          <w:rFonts w:ascii="Calibri" w:hAnsi="Calibri"/>
          <w:sz w:val="22"/>
        </w:rPr>
        <w:t>Atık azaltma, kaynak verimliliği, salım kontrolü.</w:t>
      </w:r>
    </w:p>
    <w:p>
      <w:pPr>
        <w:pStyle w:val="Balk2"/>
        <w:spacing w:before="200" w:after="160"/>
      </w:pPr>
      <w:r>
        <w:rPr>
          <w:rFonts w:ascii="Calibri" w:hAnsi="Calibri"/>
        </w:rPr>
        <w:t>3.7  İlgili Tarafların Beklentileri</w:t>
      </w:r>
    </w:p>
    <w:p>
      <w:pPr>
        <w:spacing w:before="0" w:after="120"/>
      </w:pPr>
      <w:r>
        <w:rPr>
          <w:rFonts w:ascii="Calibri" w:hAnsi="Calibri"/>
          <w:sz w:val="22"/>
        </w:rPr>
        <w:t>Toplum, regülatör, müşteri ve çalışan beklentileri ele alınır.</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Çevresel Boyut</w:t>
            </w:r>
          </w:p>
        </w:tc>
        <w:tc>
          <w:tcPr>
            <w:tcW w:type="dxa" w:w="4513"/>
            <w:shd w:fill="F4F6F9"/>
          </w:tcPr>
          <w:p>
            <w:r/>
            <w:r>
              <w:rPr>
                <w:rFonts w:ascii="Calibri" w:hAnsi="Calibri"/>
                <w:color w:val="1F2A37"/>
                <w:sz w:val="20"/>
              </w:rPr>
              <w:t>Bir kuruluşun ürünleri ve faaliyetlerinin çevre ile etkileşim noktası.</w:t>
            </w:r>
          </w:p>
        </w:tc>
      </w:tr>
      <w:tr>
        <w:tc>
          <w:tcPr>
            <w:tcW w:type="dxa" w:w="4513"/>
          </w:tcPr>
          <w:p>
            <w:r/>
            <w:r>
              <w:rPr>
                <w:rFonts w:ascii="Calibri" w:hAnsi="Calibri"/>
                <w:color w:val="1F2A37"/>
                <w:sz w:val="20"/>
              </w:rPr>
              <w:t>Çevresel Etki</w:t>
            </w:r>
          </w:p>
        </w:tc>
        <w:tc>
          <w:tcPr>
            <w:tcW w:type="dxa" w:w="4513"/>
          </w:tcPr>
          <w:p>
            <w:r/>
            <w:r>
              <w:rPr>
                <w:rFonts w:ascii="Calibri" w:hAnsi="Calibri"/>
                <w:color w:val="1F2A37"/>
                <w:sz w:val="20"/>
              </w:rPr>
              <w:t>Çevresel boyutun yarattığı değişiklik.</w:t>
            </w:r>
          </w:p>
        </w:tc>
      </w:tr>
      <w:tr>
        <w:tc>
          <w:tcPr>
            <w:tcW w:type="dxa" w:w="4513"/>
            <w:shd w:fill="F4F6F9"/>
          </w:tcPr>
          <w:p>
            <w:r/>
            <w:r>
              <w:rPr>
                <w:rFonts w:ascii="Calibri" w:hAnsi="Calibri"/>
                <w:color w:val="1F2A37"/>
                <w:sz w:val="20"/>
              </w:rPr>
              <w:t>Önemli Çevresel Boyut</w:t>
            </w:r>
          </w:p>
        </w:tc>
        <w:tc>
          <w:tcPr>
            <w:tcW w:type="dxa" w:w="4513"/>
            <w:shd w:fill="F4F6F9"/>
          </w:tcPr>
          <w:p>
            <w:r/>
            <w:r>
              <w:rPr>
                <w:rFonts w:ascii="Calibri" w:hAnsi="Calibri"/>
                <w:color w:val="1F2A37"/>
                <w:sz w:val="20"/>
              </w:rPr>
              <w:t>Belirgin etkisi olduğu için yönetim sisteminde önceliklendirilen boyut.</w:t>
            </w:r>
          </w:p>
        </w:tc>
      </w:tr>
      <w:tr>
        <w:tc>
          <w:tcPr>
            <w:tcW w:type="dxa" w:w="4513"/>
          </w:tcPr>
          <w:p>
            <w:r/>
            <w:r>
              <w:rPr>
                <w:rFonts w:ascii="Calibri" w:hAnsi="Calibri"/>
                <w:color w:val="1F2A37"/>
                <w:sz w:val="20"/>
              </w:rPr>
              <w:t>Yaşam Döngüsü</w:t>
            </w:r>
          </w:p>
        </w:tc>
        <w:tc>
          <w:tcPr>
            <w:tcW w:type="dxa" w:w="4513"/>
          </w:tcPr>
          <w:p>
            <w:r/>
            <w:r>
              <w:rPr>
                <w:rFonts w:ascii="Calibri" w:hAnsi="Calibri"/>
                <w:color w:val="1F2A37"/>
                <w:sz w:val="20"/>
              </w:rPr>
              <w:t>Hammadde tedarikinden bertarafa kadar ürün/hizmet aşamaları.</w:t>
            </w:r>
          </w:p>
        </w:tc>
      </w:tr>
      <w:tr>
        <w:tc>
          <w:tcPr>
            <w:tcW w:type="dxa" w:w="4513"/>
            <w:shd w:fill="F4F6F9"/>
          </w:tcPr>
          <w:p>
            <w:r/>
            <w:r>
              <w:rPr>
                <w:rFonts w:ascii="Calibri" w:hAnsi="Calibri"/>
                <w:color w:val="1F2A37"/>
                <w:sz w:val="20"/>
              </w:rPr>
              <w:t>Uyum Yükümlülüğü</w:t>
            </w:r>
          </w:p>
        </w:tc>
        <w:tc>
          <w:tcPr>
            <w:tcW w:type="dxa" w:w="4513"/>
            <w:shd w:fill="F4F6F9"/>
          </w:tcPr>
          <w:p>
            <w:r/>
            <w:r>
              <w:rPr>
                <w:rFonts w:ascii="Calibri" w:hAnsi="Calibri"/>
                <w:color w:val="1F2A37"/>
                <w:sz w:val="20"/>
              </w:rPr>
              <w:t>Yasal ve gönüllü gereklilikler.</w:t>
            </w:r>
          </w:p>
        </w:tc>
      </w:tr>
      <w:tr>
        <w:tc>
          <w:tcPr>
            <w:tcW w:type="dxa" w:w="4513"/>
          </w:tcPr>
          <w:p>
            <w:r/>
            <w:r>
              <w:rPr>
                <w:rFonts w:ascii="Calibri" w:hAnsi="Calibri"/>
                <w:color w:val="1F2A37"/>
                <w:sz w:val="20"/>
              </w:rPr>
              <w:t>Çevre Politikası</w:t>
            </w:r>
          </w:p>
        </w:tc>
        <w:tc>
          <w:tcPr>
            <w:tcW w:type="dxa" w:w="4513"/>
          </w:tcPr>
          <w:p>
            <w:r/>
            <w:r>
              <w:rPr>
                <w:rFonts w:ascii="Calibri" w:hAnsi="Calibri"/>
                <w:color w:val="1F2A37"/>
                <w:sz w:val="20"/>
              </w:rPr>
              <w:t>Üst yönetim taahhüdü.</w:t>
            </w:r>
          </w:p>
        </w:tc>
      </w:tr>
      <w:tr>
        <w:tc>
          <w:tcPr>
            <w:tcW w:type="dxa" w:w="4513"/>
            <w:shd w:fill="F4F6F9"/>
          </w:tcPr>
          <w:p>
            <w:r/>
            <w:r>
              <w:rPr>
                <w:rFonts w:ascii="Calibri" w:hAnsi="Calibri"/>
                <w:color w:val="1F2A37"/>
                <w:sz w:val="20"/>
              </w:rPr>
              <w:t>Kirletici</w:t>
            </w:r>
          </w:p>
        </w:tc>
        <w:tc>
          <w:tcPr>
            <w:tcW w:type="dxa" w:w="4513"/>
            <w:shd w:fill="F4F6F9"/>
          </w:tcPr>
          <w:p>
            <w:r/>
            <w:r>
              <w:rPr>
                <w:rFonts w:ascii="Calibri" w:hAnsi="Calibri"/>
                <w:color w:val="1F2A37"/>
                <w:sz w:val="20"/>
              </w:rPr>
              <w:t>Çevreye olumsuz etki yapabilecek madde veya enerji.</w:t>
            </w:r>
          </w:p>
        </w:tc>
      </w:tr>
      <w:tr>
        <w:tc>
          <w:tcPr>
            <w:tcW w:type="dxa" w:w="4513"/>
          </w:tcPr>
          <w:p>
            <w:r/>
            <w:r>
              <w:rPr>
                <w:rFonts w:ascii="Calibri" w:hAnsi="Calibri"/>
                <w:color w:val="1F2A37"/>
                <w:sz w:val="20"/>
              </w:rPr>
              <w:t>Atık Hiyerarşisi</w:t>
            </w:r>
          </w:p>
        </w:tc>
        <w:tc>
          <w:tcPr>
            <w:tcW w:type="dxa" w:w="4513"/>
          </w:tcPr>
          <w:p>
            <w:r/>
            <w:r>
              <w:rPr>
                <w:rFonts w:ascii="Calibri" w:hAnsi="Calibri"/>
                <w:color w:val="1F2A37"/>
                <w:sz w:val="20"/>
              </w:rPr>
              <w:t>Azaltma → tekrar kullanım → geri dönüşüm → enerji geri kazanım → bertaraf.</w:t>
            </w:r>
          </w:p>
        </w:tc>
      </w:tr>
      <w:tr>
        <w:tc>
          <w:tcPr>
            <w:tcW w:type="dxa" w:w="4513"/>
            <w:shd w:fill="F4F6F9"/>
          </w:tcPr>
          <w:p>
            <w:r/>
            <w:r>
              <w:rPr>
                <w:rFonts w:ascii="Calibri" w:hAnsi="Calibri"/>
                <w:color w:val="1F2A37"/>
                <w:sz w:val="20"/>
              </w:rPr>
              <w:t>Acil Durum Hazırlığı</w:t>
            </w:r>
          </w:p>
        </w:tc>
        <w:tc>
          <w:tcPr>
            <w:tcW w:type="dxa" w:w="4513"/>
            <w:shd w:fill="F4F6F9"/>
          </w:tcPr>
          <w:p>
            <w:r/>
            <w:r>
              <w:rPr>
                <w:rFonts w:ascii="Calibri" w:hAnsi="Calibri"/>
                <w:color w:val="1F2A37"/>
                <w:sz w:val="20"/>
              </w:rPr>
              <w:t>Beklenmedik çevresel olaylara hazırlık ve müdahale.</w:t>
            </w:r>
          </w:p>
        </w:tc>
      </w:tr>
      <w:tr>
        <w:tc>
          <w:tcPr>
            <w:tcW w:type="dxa" w:w="4513"/>
          </w:tcPr>
          <w:p>
            <w:r/>
            <w:r>
              <w:rPr>
                <w:rFonts w:ascii="Calibri" w:hAnsi="Calibri"/>
                <w:color w:val="1F2A37"/>
                <w:sz w:val="20"/>
              </w:rPr>
              <w:t>Karbon Ayak İzi</w:t>
            </w:r>
          </w:p>
        </w:tc>
        <w:tc>
          <w:tcPr>
            <w:tcW w:type="dxa" w:w="4513"/>
          </w:tcPr>
          <w:p>
            <w:r/>
            <w:r>
              <w:rPr>
                <w:rFonts w:ascii="Calibri" w:hAnsi="Calibri"/>
                <w:color w:val="1F2A37"/>
                <w:sz w:val="20"/>
              </w:rPr>
              <w:t>Bir faaliyet veya ürünün sera gazı salım toplamı.</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