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45001:2018</w:t>
      </w:r>
    </w:p>
    <w:p>
      <w:pPr>
        <w:spacing w:before="0" w:after="80"/>
        <w:jc w:val="left"/>
      </w:pPr>
      <w:r>
        <w:rPr>
          <w:rFonts w:ascii="Calibri" w:hAnsi="Calibri"/>
          <w:color w:val="1F2A37"/>
          <w:sz w:val="40"/>
        </w:rPr>
        <w:t>İş Sağlığı ve Güvenliği Yönetim Sistemi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BE004</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Tüm çalışanlar, İSG profesyonelleri, yöneticiler</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45001:2018 standardı, kuruluşumuzun İş Sağlığı ve Güvenliği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"Kaza kaçınılmaz değildir; sistematik önlemlerin başarısızlığıdır."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45001:2018 standardı, kuruluşumuzun İş Sağlığı ve Güvenliği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45001:2018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45001:2018, İş Sağlığı ve Güvenliği Yönetim Sistemi alanında Tüm çalışanlar, İSG profesyonelleri, yöneticiler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45001:2018, kuruluşların İş Sağlığı ve Güvenliği Yönetim Sistemi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Tehlike: Zarar verme potansiyeli olan kaynak veya durum.</w:t>
      </w:r>
    </w:p>
    <w:p>
      <w:pPr>
        <w:pStyle w:val="ListeParagraf"/>
        <w:spacing w:after="60"/>
        <w:ind w:left="397"/>
      </w:pPr>
      <w:r>
        <w:rPr>
          <w:rFonts w:ascii="Calibri" w:hAnsi="Calibri"/>
          <w:color w:val="1F2A37"/>
          <w:sz w:val="22"/>
        </w:rPr>
        <w:t>•  Risk: Tehlikenin gerçekleşme olasılığı ile sonuçlarının ciddiyeti.</w:t>
      </w:r>
    </w:p>
    <w:p>
      <w:pPr>
        <w:pStyle w:val="ListeParagraf"/>
        <w:spacing w:after="60"/>
        <w:ind w:left="397"/>
      </w:pPr>
      <w:r>
        <w:rPr>
          <w:rFonts w:ascii="Calibri" w:hAnsi="Calibri"/>
          <w:color w:val="1F2A37"/>
          <w:sz w:val="22"/>
        </w:rPr>
        <w:t>•  Risk Değerlendirme: Risklerin tanımlanması, analizi ve önemlilik değerlendirmesi.</w:t>
      </w:r>
    </w:p>
    <w:p>
      <w:pPr>
        <w:pStyle w:val="ListeParagraf"/>
        <w:spacing w:after="60"/>
        <w:ind w:left="397"/>
      </w:pPr>
      <w:r>
        <w:rPr>
          <w:rFonts w:ascii="Calibri" w:hAnsi="Calibri"/>
          <w:color w:val="1F2A37"/>
          <w:sz w:val="22"/>
        </w:rPr>
        <w:t>•  KKE: Kişisel Koruyucu Ekipman.</w:t>
      </w:r>
    </w:p>
    <w:p>
      <w:pPr>
        <w:pStyle w:val="ListeParagraf"/>
        <w:spacing w:after="60"/>
        <w:ind w:left="397"/>
      </w:pPr>
      <w:r>
        <w:rPr>
          <w:rFonts w:ascii="Calibri" w:hAnsi="Calibri"/>
          <w:color w:val="1F2A37"/>
          <w:sz w:val="22"/>
        </w:rPr>
        <w:t>•  Olay (Incident): Yaralanma veya sağlığı bozulma ile sonuçlanmış veya sonuçlanabilecek olay.</w:t>
      </w:r>
    </w:p>
    <w:p>
      <w:pPr>
        <w:pStyle w:val="ListeParagraf"/>
        <w:spacing w:after="60"/>
        <w:ind w:left="397"/>
      </w:pPr>
      <w:r>
        <w:rPr>
          <w:rFonts w:ascii="Calibri" w:hAnsi="Calibri"/>
          <w:color w:val="1F2A37"/>
          <w:sz w:val="22"/>
        </w:rPr>
        <w:t>•  Ramak Kala: Yaralanmaya yol açmamış ancak açabilecek olay.</w:t>
      </w:r>
    </w:p>
    <w:p>
      <w:pPr>
        <w:pStyle w:val="ListeParagraf"/>
        <w:spacing w:after="60"/>
        <w:ind w:left="397"/>
      </w:pPr>
      <w:r>
        <w:rPr>
          <w:rFonts w:ascii="Calibri" w:hAnsi="Calibri"/>
          <w:color w:val="1F2A37"/>
          <w:sz w:val="22"/>
        </w:rPr>
        <w:t>•  Kontrol Hiyerarşisi: Riskin azaltılma sıralaması.</w:t>
      </w:r>
    </w:p>
    <w:p>
      <w:pPr>
        <w:pStyle w:val="ListeParagraf"/>
        <w:spacing w:after="60"/>
        <w:ind w:left="397"/>
      </w:pPr>
      <w:r>
        <w:rPr>
          <w:rFonts w:ascii="Calibri" w:hAnsi="Calibri"/>
          <w:color w:val="1F2A37"/>
          <w:sz w:val="22"/>
        </w:rPr>
        <w:t>•  İSG Komitesi: Çalışan katılımının kurumsal mekanizması.</w:t>
      </w:r>
    </w:p>
    <w:p>
      <w:pPr>
        <w:pStyle w:val="ListeParagraf"/>
        <w:spacing w:after="60"/>
        <w:ind w:left="397"/>
      </w:pPr>
      <w:r>
        <w:rPr>
          <w:rFonts w:ascii="Calibri" w:hAnsi="Calibri"/>
          <w:color w:val="1F2A37"/>
          <w:sz w:val="22"/>
        </w:rPr>
        <w:t>•  Acil Durum: Hazırlık ve müdahale gerektiren olağandışı durum.</w:t>
      </w:r>
    </w:p>
    <w:p>
      <w:pPr>
        <w:pStyle w:val="ListeParagraf"/>
        <w:spacing w:after="60"/>
        <w:ind w:left="397"/>
      </w:pPr>
      <w:r>
        <w:rPr>
          <w:rFonts w:ascii="Calibri" w:hAnsi="Calibri"/>
          <w:color w:val="1F2A37"/>
          <w:sz w:val="22"/>
        </w:rPr>
        <w:t>•  İş Sağlığı Gözetimi: Çalışanların sağlık durumunun izlenmesi.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1999 — OHSAS 18001 yayımlandı (BSI tarafından).</w:t>
      </w:r>
    </w:p>
    <w:p>
      <w:pPr>
        <w:pStyle w:val="ListeParagraf"/>
        <w:spacing w:after="60"/>
        <w:ind w:left="397"/>
      </w:pPr>
      <w:r>
        <w:rPr>
          <w:rFonts w:ascii="Calibri" w:hAnsi="Calibri"/>
          <w:color w:val="1F2A37"/>
          <w:sz w:val="22"/>
        </w:rPr>
        <w:t>•  2007 — OHSAS 18001 revize edildi.</w:t>
      </w:r>
    </w:p>
    <w:p>
      <w:pPr>
        <w:pStyle w:val="ListeParagraf"/>
        <w:spacing w:after="60"/>
        <w:ind w:left="397"/>
      </w:pPr>
      <w:r>
        <w:rPr>
          <w:rFonts w:ascii="Calibri" w:hAnsi="Calibri"/>
          <w:color w:val="1F2A37"/>
          <w:sz w:val="22"/>
        </w:rPr>
        <w:t>•  2018 — ISO 45001 yayımlandı, Annex SL ile uyumlu.</w:t>
      </w:r>
    </w:p>
    <w:p>
      <w:pPr>
        <w:pStyle w:val="ListeParagraf"/>
        <w:spacing w:after="60"/>
        <w:ind w:left="397"/>
      </w:pPr>
      <w:r>
        <w:rPr>
          <w:rFonts w:ascii="Calibri" w:hAnsi="Calibri"/>
          <w:color w:val="1F2A37"/>
          <w:sz w:val="22"/>
        </w:rPr>
        <w:t>•  2021 — OHSAS 18001 geçişi tamamlandı; ISO 45001 küresel referans oldu.</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45001:2018'in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Çalışan Katılımı</w:t>
      </w:r>
    </w:p>
    <w:p>
      <w:pPr>
        <w:spacing w:before="0" w:after="120"/>
      </w:pPr>
      <w:r>
        <w:rPr>
          <w:rFonts w:ascii="Calibri" w:hAnsi="Calibri"/>
          <w:sz w:val="22"/>
        </w:rPr>
        <w:t>Karar süreçlerine çalışanların ve temsilcilerinin dâhil edilmesi.</w:t>
      </w:r>
    </w:p>
    <w:p>
      <w:pPr>
        <w:pStyle w:val="Balk2"/>
        <w:spacing w:before="200" w:after="160"/>
      </w:pPr>
      <w:r>
        <w:rPr>
          <w:rFonts w:ascii="Calibri" w:hAnsi="Calibri"/>
        </w:rPr>
        <w:t>3.2  Tehlike Belirleme</w:t>
      </w:r>
    </w:p>
    <w:p>
      <w:pPr>
        <w:spacing w:before="0" w:after="120"/>
      </w:pPr>
      <w:r>
        <w:rPr>
          <w:rFonts w:ascii="Calibri" w:hAnsi="Calibri"/>
          <w:sz w:val="22"/>
        </w:rPr>
        <w:t>Sistematik olarak tehlike, risk ve fırsatların ele alınması.</w:t>
      </w:r>
    </w:p>
    <w:p>
      <w:pPr>
        <w:pStyle w:val="Balk2"/>
        <w:spacing w:before="200" w:after="160"/>
      </w:pPr>
      <w:r>
        <w:rPr>
          <w:rFonts w:ascii="Calibri" w:hAnsi="Calibri"/>
        </w:rPr>
        <w:t>3.3  Kontrol Hiyerarşisi</w:t>
      </w:r>
    </w:p>
    <w:p>
      <w:pPr>
        <w:spacing w:before="0" w:after="120"/>
      </w:pPr>
      <w:r>
        <w:rPr>
          <w:rFonts w:ascii="Calibri" w:hAnsi="Calibri"/>
          <w:sz w:val="22"/>
        </w:rPr>
        <w:t>Eliminasyon → ikame → mühendislik → idari → KKE sırası.</w:t>
      </w:r>
    </w:p>
    <w:p>
      <w:pPr>
        <w:pStyle w:val="Balk2"/>
        <w:spacing w:before="200" w:after="160"/>
      </w:pPr>
      <w:r>
        <w:rPr>
          <w:rFonts w:ascii="Calibri" w:hAnsi="Calibri"/>
        </w:rPr>
        <w:t>3.4  Liderlik ve Taahhüt</w:t>
      </w:r>
    </w:p>
    <w:p>
      <w:pPr>
        <w:spacing w:before="0" w:after="120"/>
      </w:pPr>
      <w:r>
        <w:rPr>
          <w:rFonts w:ascii="Calibri" w:hAnsi="Calibri"/>
          <w:sz w:val="22"/>
        </w:rPr>
        <w:t>Üst yönetimin İSG'ye somut sahipliği.</w:t>
      </w:r>
    </w:p>
    <w:p>
      <w:pPr>
        <w:pStyle w:val="Balk2"/>
        <w:spacing w:before="200" w:after="160"/>
      </w:pPr>
      <w:r>
        <w:rPr>
          <w:rFonts w:ascii="Calibri" w:hAnsi="Calibri"/>
        </w:rPr>
        <w:t>3.5  Yasal Uyum</w:t>
      </w:r>
    </w:p>
    <w:p>
      <w:pPr>
        <w:spacing w:before="0" w:after="120"/>
      </w:pPr>
      <w:r>
        <w:rPr>
          <w:rFonts w:ascii="Calibri" w:hAnsi="Calibri"/>
          <w:sz w:val="22"/>
        </w:rPr>
        <w:t>İSG mevzuatına eksiksiz uyum.</w:t>
      </w:r>
    </w:p>
    <w:p>
      <w:pPr>
        <w:pStyle w:val="Balk2"/>
        <w:spacing w:before="200" w:after="160"/>
      </w:pPr>
      <w:r>
        <w:rPr>
          <w:rFonts w:ascii="Calibri" w:hAnsi="Calibri"/>
        </w:rPr>
        <w:t>3.6  Olayların Soruşturulması</w:t>
      </w:r>
    </w:p>
    <w:p>
      <w:pPr>
        <w:spacing w:before="0" w:after="120"/>
      </w:pPr>
      <w:r>
        <w:rPr>
          <w:rFonts w:ascii="Calibri" w:hAnsi="Calibri"/>
          <w:sz w:val="22"/>
        </w:rPr>
        <w:t>Kök neden analizi ve tekrarın önlenmesi.</w:t>
      </w:r>
    </w:p>
    <w:p>
      <w:pPr>
        <w:pStyle w:val="Balk2"/>
        <w:spacing w:before="200" w:after="160"/>
      </w:pPr>
      <w:r>
        <w:rPr>
          <w:rFonts w:ascii="Calibri" w:hAnsi="Calibri"/>
        </w:rPr>
        <w:t>3.7  Sürekli İyileştirme</w:t>
      </w:r>
    </w:p>
    <w:p>
      <w:pPr>
        <w:spacing w:before="0" w:after="120"/>
      </w:pPr>
      <w:r>
        <w:rPr>
          <w:rFonts w:ascii="Calibri" w:hAnsi="Calibri"/>
          <w:sz w:val="22"/>
        </w:rPr>
        <w:t>PUKÖ döngüsü ve YGG ile gelişim.</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Tehlike</w:t>
            </w:r>
          </w:p>
        </w:tc>
        <w:tc>
          <w:tcPr>
            <w:tcW w:type="dxa" w:w="4513"/>
            <w:shd w:fill="F4F6F9"/>
          </w:tcPr>
          <w:p>
            <w:r/>
            <w:r>
              <w:rPr>
                <w:rFonts w:ascii="Calibri" w:hAnsi="Calibri"/>
                <w:color w:val="1F2A37"/>
                <w:sz w:val="20"/>
              </w:rPr>
              <w:t>Zarar verme potansiyeli olan kaynak veya durum.</w:t>
            </w:r>
          </w:p>
        </w:tc>
      </w:tr>
      <w:tr>
        <w:tc>
          <w:tcPr>
            <w:tcW w:type="dxa" w:w="4513"/>
          </w:tcPr>
          <w:p>
            <w:r/>
            <w:r>
              <w:rPr>
                <w:rFonts w:ascii="Calibri" w:hAnsi="Calibri"/>
                <w:color w:val="1F2A37"/>
                <w:sz w:val="20"/>
              </w:rPr>
              <w:t>Risk</w:t>
            </w:r>
          </w:p>
        </w:tc>
        <w:tc>
          <w:tcPr>
            <w:tcW w:type="dxa" w:w="4513"/>
          </w:tcPr>
          <w:p>
            <w:r/>
            <w:r>
              <w:rPr>
                <w:rFonts w:ascii="Calibri" w:hAnsi="Calibri"/>
                <w:color w:val="1F2A37"/>
                <w:sz w:val="20"/>
              </w:rPr>
              <w:t>Tehlikenin gerçekleşme olasılığı ile sonuçlarının ciddiyeti.</w:t>
            </w:r>
          </w:p>
        </w:tc>
      </w:tr>
      <w:tr>
        <w:tc>
          <w:tcPr>
            <w:tcW w:type="dxa" w:w="4513"/>
            <w:shd w:fill="F4F6F9"/>
          </w:tcPr>
          <w:p>
            <w:r/>
            <w:r>
              <w:rPr>
                <w:rFonts w:ascii="Calibri" w:hAnsi="Calibri"/>
                <w:color w:val="1F2A37"/>
                <w:sz w:val="20"/>
              </w:rPr>
              <w:t>Risk Değerlendirme</w:t>
            </w:r>
          </w:p>
        </w:tc>
        <w:tc>
          <w:tcPr>
            <w:tcW w:type="dxa" w:w="4513"/>
            <w:shd w:fill="F4F6F9"/>
          </w:tcPr>
          <w:p>
            <w:r/>
            <w:r>
              <w:rPr>
                <w:rFonts w:ascii="Calibri" w:hAnsi="Calibri"/>
                <w:color w:val="1F2A37"/>
                <w:sz w:val="20"/>
              </w:rPr>
              <w:t>Risklerin tanımlanması, analizi ve önemlilik değerlendirmesi.</w:t>
            </w:r>
          </w:p>
        </w:tc>
      </w:tr>
      <w:tr>
        <w:tc>
          <w:tcPr>
            <w:tcW w:type="dxa" w:w="4513"/>
          </w:tcPr>
          <w:p>
            <w:r/>
            <w:r>
              <w:rPr>
                <w:rFonts w:ascii="Calibri" w:hAnsi="Calibri"/>
                <w:color w:val="1F2A37"/>
                <w:sz w:val="20"/>
              </w:rPr>
              <w:t>KKE</w:t>
            </w:r>
          </w:p>
        </w:tc>
        <w:tc>
          <w:tcPr>
            <w:tcW w:type="dxa" w:w="4513"/>
          </w:tcPr>
          <w:p>
            <w:r/>
            <w:r>
              <w:rPr>
                <w:rFonts w:ascii="Calibri" w:hAnsi="Calibri"/>
                <w:color w:val="1F2A37"/>
                <w:sz w:val="20"/>
              </w:rPr>
              <w:t>Kişisel Koruyucu Ekipman.</w:t>
            </w:r>
          </w:p>
        </w:tc>
      </w:tr>
      <w:tr>
        <w:tc>
          <w:tcPr>
            <w:tcW w:type="dxa" w:w="4513"/>
            <w:shd w:fill="F4F6F9"/>
          </w:tcPr>
          <w:p>
            <w:r/>
            <w:r>
              <w:rPr>
                <w:rFonts w:ascii="Calibri" w:hAnsi="Calibri"/>
                <w:color w:val="1F2A37"/>
                <w:sz w:val="20"/>
              </w:rPr>
              <w:t>Olay (Incident)</w:t>
            </w:r>
          </w:p>
        </w:tc>
        <w:tc>
          <w:tcPr>
            <w:tcW w:type="dxa" w:w="4513"/>
            <w:shd w:fill="F4F6F9"/>
          </w:tcPr>
          <w:p>
            <w:r/>
            <w:r>
              <w:rPr>
                <w:rFonts w:ascii="Calibri" w:hAnsi="Calibri"/>
                <w:color w:val="1F2A37"/>
                <w:sz w:val="20"/>
              </w:rPr>
              <w:t>Yaralanma veya sağlığı bozulma ile sonuçlanmış veya sonuçlanabilecek olay.</w:t>
            </w:r>
          </w:p>
        </w:tc>
      </w:tr>
      <w:tr>
        <w:tc>
          <w:tcPr>
            <w:tcW w:type="dxa" w:w="4513"/>
          </w:tcPr>
          <w:p>
            <w:r/>
            <w:r>
              <w:rPr>
                <w:rFonts w:ascii="Calibri" w:hAnsi="Calibri"/>
                <w:color w:val="1F2A37"/>
                <w:sz w:val="20"/>
              </w:rPr>
              <w:t>Ramak Kala</w:t>
            </w:r>
          </w:p>
        </w:tc>
        <w:tc>
          <w:tcPr>
            <w:tcW w:type="dxa" w:w="4513"/>
          </w:tcPr>
          <w:p>
            <w:r/>
            <w:r>
              <w:rPr>
                <w:rFonts w:ascii="Calibri" w:hAnsi="Calibri"/>
                <w:color w:val="1F2A37"/>
                <w:sz w:val="20"/>
              </w:rPr>
              <w:t>Yaralanmaya yol açmamış ancak açabilecek olay.</w:t>
            </w:r>
          </w:p>
        </w:tc>
      </w:tr>
      <w:tr>
        <w:tc>
          <w:tcPr>
            <w:tcW w:type="dxa" w:w="4513"/>
            <w:shd w:fill="F4F6F9"/>
          </w:tcPr>
          <w:p>
            <w:r/>
            <w:r>
              <w:rPr>
                <w:rFonts w:ascii="Calibri" w:hAnsi="Calibri"/>
                <w:color w:val="1F2A37"/>
                <w:sz w:val="20"/>
              </w:rPr>
              <w:t>Kontrol Hiyerarşisi</w:t>
            </w:r>
          </w:p>
        </w:tc>
        <w:tc>
          <w:tcPr>
            <w:tcW w:type="dxa" w:w="4513"/>
            <w:shd w:fill="F4F6F9"/>
          </w:tcPr>
          <w:p>
            <w:r/>
            <w:r>
              <w:rPr>
                <w:rFonts w:ascii="Calibri" w:hAnsi="Calibri"/>
                <w:color w:val="1F2A37"/>
                <w:sz w:val="20"/>
              </w:rPr>
              <w:t>Riskin azaltılma sıralaması.</w:t>
            </w:r>
          </w:p>
        </w:tc>
      </w:tr>
      <w:tr>
        <w:tc>
          <w:tcPr>
            <w:tcW w:type="dxa" w:w="4513"/>
          </w:tcPr>
          <w:p>
            <w:r/>
            <w:r>
              <w:rPr>
                <w:rFonts w:ascii="Calibri" w:hAnsi="Calibri"/>
                <w:color w:val="1F2A37"/>
                <w:sz w:val="20"/>
              </w:rPr>
              <w:t>İSG Komitesi</w:t>
            </w:r>
          </w:p>
        </w:tc>
        <w:tc>
          <w:tcPr>
            <w:tcW w:type="dxa" w:w="4513"/>
          </w:tcPr>
          <w:p>
            <w:r/>
            <w:r>
              <w:rPr>
                <w:rFonts w:ascii="Calibri" w:hAnsi="Calibri"/>
                <w:color w:val="1F2A37"/>
                <w:sz w:val="20"/>
              </w:rPr>
              <w:t>Çalışan katılımının kurumsal mekanizması.</w:t>
            </w:r>
          </w:p>
        </w:tc>
      </w:tr>
      <w:tr>
        <w:tc>
          <w:tcPr>
            <w:tcW w:type="dxa" w:w="4513"/>
            <w:shd w:fill="F4F6F9"/>
          </w:tcPr>
          <w:p>
            <w:r/>
            <w:r>
              <w:rPr>
                <w:rFonts w:ascii="Calibri" w:hAnsi="Calibri"/>
                <w:color w:val="1F2A37"/>
                <w:sz w:val="20"/>
              </w:rPr>
              <w:t>Acil Durum</w:t>
            </w:r>
          </w:p>
        </w:tc>
        <w:tc>
          <w:tcPr>
            <w:tcW w:type="dxa" w:w="4513"/>
            <w:shd w:fill="F4F6F9"/>
          </w:tcPr>
          <w:p>
            <w:r/>
            <w:r>
              <w:rPr>
                <w:rFonts w:ascii="Calibri" w:hAnsi="Calibri"/>
                <w:color w:val="1F2A37"/>
                <w:sz w:val="20"/>
              </w:rPr>
              <w:t>Hazırlık ve müdahale gerektiren olağandışı durum.</w:t>
            </w:r>
          </w:p>
        </w:tc>
      </w:tr>
      <w:tr>
        <w:tc>
          <w:tcPr>
            <w:tcW w:type="dxa" w:w="4513"/>
          </w:tcPr>
          <w:p>
            <w:r/>
            <w:r>
              <w:rPr>
                <w:rFonts w:ascii="Calibri" w:hAnsi="Calibri"/>
                <w:color w:val="1F2A37"/>
                <w:sz w:val="20"/>
              </w:rPr>
              <w:t>İş Sağlığı Gözetimi</w:t>
            </w:r>
          </w:p>
        </w:tc>
        <w:tc>
          <w:tcPr>
            <w:tcW w:type="dxa" w:w="4513"/>
          </w:tcPr>
          <w:p>
            <w:r/>
            <w:r>
              <w:rPr>
                <w:rFonts w:ascii="Calibri" w:hAnsi="Calibri"/>
                <w:color w:val="1F2A37"/>
                <w:sz w:val="20"/>
              </w:rPr>
              <w:t>Çalışanların sağlık durumunun izlenmesi.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