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HACCP</w:t>
      </w:r>
    </w:p>
    <w:p>
      <w:pPr>
        <w:spacing w:before="0" w:after="80"/>
        <w:jc w:val="left"/>
      </w:pPr>
      <w:r>
        <w:rPr>
          <w:rFonts w:ascii="Calibri" w:hAnsi="Calibri"/>
          <w:color w:val="1F2A37"/>
          <w:sz w:val="40"/>
        </w:rPr>
        <w:t>Tehlike Analizi ve Kritik Kontrol Noktaları</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BE005</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Gıda işletmeleri tüm çalışanları, kalite ve üretim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HACCP standardı, kuruluşumuzun Tehlike Analizi ve Kritik Kontrol Noktaları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"Tehlikeleri öngörmek, onlarla karşılaşınca tepki vermekten daha güvenlidir."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HACCP standardı, kuruluşumuzun Tehlike Analizi ve Kritik Kontrol Noktaları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HACCP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HACCP, Tehlike Analizi ve Kritik Kontrol Noktaları alanında Gıda işletmeleri tüm çalışanları, kalite ve üretim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HACCP, kuruluşların Tehlike Analizi ve Kritik Kontrol Noktaları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Tehlike: Sağlığa zarar verebilecek biyolojik, kimyasal, fiziksel etmen.</w:t>
      </w:r>
    </w:p>
    <w:p>
      <w:pPr>
        <w:pStyle w:val="ListeParagraf"/>
        <w:spacing w:after="60"/>
        <w:ind w:left="397"/>
      </w:pPr>
      <w:r>
        <w:rPr>
          <w:rFonts w:ascii="Calibri" w:hAnsi="Calibri"/>
          <w:color w:val="1F2A37"/>
          <w:sz w:val="22"/>
        </w:rPr>
        <w:t>•  KKN (CCP): Tehlikenin önlendiği/kabul edilebilir düzeye indirildiği nokta.</w:t>
      </w:r>
    </w:p>
    <w:p>
      <w:pPr>
        <w:pStyle w:val="ListeParagraf"/>
        <w:spacing w:after="60"/>
        <w:ind w:left="397"/>
      </w:pPr>
      <w:r>
        <w:rPr>
          <w:rFonts w:ascii="Calibri" w:hAnsi="Calibri"/>
          <w:color w:val="1F2A37"/>
          <w:sz w:val="22"/>
        </w:rPr>
        <w:t>•  Kritik Limit: KKN'de kabul edilen sınır değer.</w:t>
      </w:r>
    </w:p>
    <w:p>
      <w:pPr>
        <w:pStyle w:val="ListeParagraf"/>
        <w:spacing w:after="60"/>
        <w:ind w:left="397"/>
      </w:pPr>
      <w:r>
        <w:rPr>
          <w:rFonts w:ascii="Calibri" w:hAnsi="Calibri"/>
          <w:color w:val="1F2A37"/>
          <w:sz w:val="22"/>
        </w:rPr>
        <w:t>•  İzleme: Limit içinde kalındığının sürekli doğrulanması.</w:t>
      </w:r>
    </w:p>
    <w:p>
      <w:pPr>
        <w:pStyle w:val="ListeParagraf"/>
        <w:spacing w:after="60"/>
        <w:ind w:left="397"/>
      </w:pPr>
      <w:r>
        <w:rPr>
          <w:rFonts w:ascii="Calibri" w:hAnsi="Calibri"/>
          <w:color w:val="1F2A37"/>
          <w:sz w:val="22"/>
        </w:rPr>
        <w:t>•  Karar Ağacı: KKN tespitinde kullanılan mantıksal akış.</w:t>
      </w:r>
    </w:p>
    <w:p>
      <w:pPr>
        <w:pStyle w:val="ListeParagraf"/>
        <w:spacing w:after="60"/>
        <w:ind w:left="397"/>
      </w:pPr>
      <w:r>
        <w:rPr>
          <w:rFonts w:ascii="Calibri" w:hAnsi="Calibri"/>
          <w:color w:val="1F2A37"/>
          <w:sz w:val="22"/>
        </w:rPr>
        <w:t>•  PRP: Ön gereksinim programları.</w:t>
      </w:r>
    </w:p>
    <w:p>
      <w:pPr>
        <w:pStyle w:val="ListeParagraf"/>
        <w:spacing w:after="60"/>
        <w:ind w:left="397"/>
      </w:pPr>
      <w:r>
        <w:rPr>
          <w:rFonts w:ascii="Calibri" w:hAnsi="Calibri"/>
          <w:color w:val="1F2A37"/>
          <w:sz w:val="22"/>
        </w:rPr>
        <w:t>•  Doğrulama: Sistemin tasarlandığı gibi çalıştığının kanıtı.</w:t>
      </w:r>
    </w:p>
    <w:p>
      <w:pPr>
        <w:pStyle w:val="ListeParagraf"/>
        <w:spacing w:after="60"/>
        <w:ind w:left="397"/>
      </w:pPr>
      <w:r>
        <w:rPr>
          <w:rFonts w:ascii="Calibri" w:hAnsi="Calibri"/>
          <w:color w:val="1F2A37"/>
          <w:sz w:val="22"/>
        </w:rPr>
        <w:t>•  Geçerli Kılma: Kontrolün gerçekten tehlikeyi önlediğinin bilimsel kanıtı.</w:t>
      </w:r>
    </w:p>
    <w:p>
      <w:pPr>
        <w:pStyle w:val="ListeParagraf"/>
        <w:spacing w:after="60"/>
        <w:ind w:left="397"/>
      </w:pPr>
      <w:r>
        <w:rPr>
          <w:rFonts w:ascii="Calibri" w:hAnsi="Calibri"/>
          <w:color w:val="1F2A37"/>
          <w:sz w:val="22"/>
        </w:rPr>
        <w:t>•  Akış Şeması: Süreç adımlarının görsel haritası.</w:t>
      </w:r>
    </w:p>
    <w:p>
      <w:pPr>
        <w:pStyle w:val="ListeParagraf"/>
        <w:spacing w:after="60"/>
        <w:ind w:left="397"/>
      </w:pPr>
      <w:r>
        <w:rPr>
          <w:rFonts w:ascii="Calibri" w:hAnsi="Calibri"/>
          <w:color w:val="1F2A37"/>
          <w:sz w:val="22"/>
        </w:rPr>
        <w:t>•  HACCP Ekibi: Çok disiplinli analiz ve uygulama ekibi.</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1960'lar — NASA ve Pillsbury, uzay görevleri için HACCP'i geliştirdi.</w:t>
      </w:r>
    </w:p>
    <w:p>
      <w:pPr>
        <w:pStyle w:val="ListeParagraf"/>
        <w:spacing w:after="60"/>
        <w:ind w:left="397"/>
      </w:pPr>
      <w:r>
        <w:rPr>
          <w:rFonts w:ascii="Calibri" w:hAnsi="Calibri"/>
          <w:color w:val="1F2A37"/>
          <w:sz w:val="22"/>
        </w:rPr>
        <w:t>•  1993 — Codex Alimentarius HACCP'i resmî olarak benimsedi.</w:t>
      </w:r>
    </w:p>
    <w:p>
      <w:pPr>
        <w:pStyle w:val="ListeParagraf"/>
        <w:spacing w:after="60"/>
        <w:ind w:left="397"/>
      </w:pPr>
      <w:r>
        <w:rPr>
          <w:rFonts w:ascii="Calibri" w:hAnsi="Calibri"/>
          <w:color w:val="1F2A37"/>
          <w:sz w:val="22"/>
        </w:rPr>
        <w:t>•  Türkiye — Gıda mevzuatı (5996 sayılı kanun) HACCP'i zorunlu kılar.</w:t>
      </w:r>
    </w:p>
    <w:p>
      <w:pPr>
        <w:pStyle w:val="ListeParagraf"/>
        <w:spacing w:after="60"/>
        <w:ind w:left="397"/>
      </w:pPr>
      <w:r>
        <w:rPr>
          <w:rFonts w:ascii="Calibri" w:hAnsi="Calibri"/>
          <w:color w:val="1F2A37"/>
          <w:sz w:val="22"/>
        </w:rPr>
        <w:t>•  Bugün — HACCP, dünyadaki tüm büyük gıda güvenliği sistemlerinin (ISO 22000, BRCGS, IFS, FSSC) temelidir.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HACCP'in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Tehlike Analizi</w:t>
      </w:r>
    </w:p>
    <w:p>
      <w:pPr>
        <w:spacing w:before="0" w:after="120"/>
      </w:pPr>
      <w:r>
        <w:rPr>
          <w:rFonts w:ascii="Calibri" w:hAnsi="Calibri"/>
          <w:sz w:val="22"/>
        </w:rPr>
        <w:t>Her aşamada biyolojik, kimyasal, fiziksel tehlikeler değerlendirilir.</w:t>
      </w:r>
    </w:p>
    <w:p>
      <w:pPr>
        <w:pStyle w:val="Balk2"/>
        <w:spacing w:before="200" w:after="160"/>
      </w:pPr>
      <w:r>
        <w:rPr>
          <w:rFonts w:ascii="Calibri" w:hAnsi="Calibri"/>
        </w:rPr>
        <w:t>3.2  KKN Belirleme</w:t>
      </w:r>
    </w:p>
    <w:p>
      <w:pPr>
        <w:spacing w:before="0" w:after="120"/>
      </w:pPr>
      <w:r>
        <w:rPr>
          <w:rFonts w:ascii="Calibri" w:hAnsi="Calibri"/>
          <w:sz w:val="22"/>
        </w:rPr>
        <w:t>Karar ağacı ile kritik kontrol noktaları tespit edilir.</w:t>
      </w:r>
    </w:p>
    <w:p>
      <w:pPr>
        <w:pStyle w:val="Balk2"/>
        <w:spacing w:before="200" w:after="160"/>
      </w:pPr>
      <w:r>
        <w:rPr>
          <w:rFonts w:ascii="Calibri" w:hAnsi="Calibri"/>
        </w:rPr>
        <w:t>3.3  Kritik Limitler</w:t>
      </w:r>
    </w:p>
    <w:p>
      <w:pPr>
        <w:spacing w:before="0" w:after="120"/>
      </w:pPr>
      <w:r>
        <w:rPr>
          <w:rFonts w:ascii="Calibri" w:hAnsi="Calibri"/>
          <w:sz w:val="22"/>
        </w:rPr>
        <w:t>Bilimsel temelli, ölçülebilir sınır değerler tanımlanır.</w:t>
      </w:r>
    </w:p>
    <w:p>
      <w:pPr>
        <w:pStyle w:val="Balk2"/>
        <w:spacing w:before="200" w:after="160"/>
      </w:pPr>
      <w:r>
        <w:rPr>
          <w:rFonts w:ascii="Calibri" w:hAnsi="Calibri"/>
        </w:rPr>
        <w:t>3.4  İzleme</w:t>
      </w:r>
    </w:p>
    <w:p>
      <w:pPr>
        <w:spacing w:before="0" w:after="120"/>
      </w:pPr>
      <w:r>
        <w:rPr>
          <w:rFonts w:ascii="Calibri" w:hAnsi="Calibri"/>
          <w:sz w:val="22"/>
        </w:rPr>
        <w:t>KKN'ler sürekli izlenir; kayıt tutulur.</w:t>
      </w:r>
    </w:p>
    <w:p>
      <w:pPr>
        <w:pStyle w:val="Balk2"/>
        <w:spacing w:before="200" w:after="160"/>
      </w:pPr>
      <w:r>
        <w:rPr>
          <w:rFonts w:ascii="Calibri" w:hAnsi="Calibri"/>
        </w:rPr>
        <w:t>3.5  Düzeltici Faaliyet</w:t>
      </w:r>
    </w:p>
    <w:p>
      <w:pPr>
        <w:spacing w:before="0" w:after="120"/>
      </w:pPr>
      <w:r>
        <w:rPr>
          <w:rFonts w:ascii="Calibri" w:hAnsi="Calibri"/>
          <w:sz w:val="22"/>
        </w:rPr>
        <w:t>Limit aşımında alınacak aksiyon önceden tanımlanır.</w:t>
      </w:r>
    </w:p>
    <w:p>
      <w:pPr>
        <w:pStyle w:val="Balk2"/>
        <w:spacing w:before="200" w:after="160"/>
      </w:pPr>
      <w:r>
        <w:rPr>
          <w:rFonts w:ascii="Calibri" w:hAnsi="Calibri"/>
        </w:rPr>
        <w:t>3.6  Doğrulama</w:t>
      </w:r>
    </w:p>
    <w:p>
      <w:pPr>
        <w:spacing w:before="0" w:after="120"/>
      </w:pPr>
      <w:r>
        <w:rPr>
          <w:rFonts w:ascii="Calibri" w:hAnsi="Calibri"/>
          <w:sz w:val="22"/>
        </w:rPr>
        <w:t>Sistemin etkinliği bağımsız doğrulamayla teyit edilir.</w:t>
      </w:r>
    </w:p>
    <w:p>
      <w:pPr>
        <w:pStyle w:val="Balk2"/>
        <w:spacing w:before="200" w:after="160"/>
      </w:pPr>
      <w:r>
        <w:rPr>
          <w:rFonts w:ascii="Calibri" w:hAnsi="Calibri"/>
        </w:rPr>
        <w:t>3.7  Dokümantasyon</w:t>
      </w:r>
    </w:p>
    <w:p>
      <w:pPr>
        <w:spacing w:before="0" w:after="120"/>
      </w:pPr>
      <w:r>
        <w:rPr>
          <w:rFonts w:ascii="Calibri" w:hAnsi="Calibri"/>
          <w:sz w:val="22"/>
        </w:rPr>
        <w:t>Tüm sürecin yazılı kayıtları tutulur.</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Tehlike</w:t>
            </w:r>
          </w:p>
        </w:tc>
        <w:tc>
          <w:tcPr>
            <w:tcW w:type="dxa" w:w="4513"/>
            <w:shd w:fill="F4F6F9"/>
          </w:tcPr>
          <w:p>
            <w:r/>
            <w:r>
              <w:rPr>
                <w:rFonts w:ascii="Calibri" w:hAnsi="Calibri"/>
                <w:color w:val="1F2A37"/>
                <w:sz w:val="20"/>
              </w:rPr>
              <w:t>Sağlığa zarar verebilecek biyolojik, kimyasal, fiziksel etmen.</w:t>
            </w:r>
          </w:p>
        </w:tc>
      </w:tr>
      <w:tr>
        <w:tc>
          <w:tcPr>
            <w:tcW w:type="dxa" w:w="4513"/>
          </w:tcPr>
          <w:p>
            <w:r/>
            <w:r>
              <w:rPr>
                <w:rFonts w:ascii="Calibri" w:hAnsi="Calibri"/>
                <w:color w:val="1F2A37"/>
                <w:sz w:val="20"/>
              </w:rPr>
              <w:t>KKN (CCP)</w:t>
            </w:r>
          </w:p>
        </w:tc>
        <w:tc>
          <w:tcPr>
            <w:tcW w:type="dxa" w:w="4513"/>
          </w:tcPr>
          <w:p>
            <w:r/>
            <w:r>
              <w:rPr>
                <w:rFonts w:ascii="Calibri" w:hAnsi="Calibri"/>
                <w:color w:val="1F2A37"/>
                <w:sz w:val="20"/>
              </w:rPr>
              <w:t>Tehlikenin önlendiği/kabul edilebilir düzeye indirildiği nokta.</w:t>
            </w:r>
          </w:p>
        </w:tc>
      </w:tr>
      <w:tr>
        <w:tc>
          <w:tcPr>
            <w:tcW w:type="dxa" w:w="4513"/>
            <w:shd w:fill="F4F6F9"/>
          </w:tcPr>
          <w:p>
            <w:r/>
            <w:r>
              <w:rPr>
                <w:rFonts w:ascii="Calibri" w:hAnsi="Calibri"/>
                <w:color w:val="1F2A37"/>
                <w:sz w:val="20"/>
              </w:rPr>
              <w:t>Kritik Limit</w:t>
            </w:r>
          </w:p>
        </w:tc>
        <w:tc>
          <w:tcPr>
            <w:tcW w:type="dxa" w:w="4513"/>
            <w:shd w:fill="F4F6F9"/>
          </w:tcPr>
          <w:p>
            <w:r/>
            <w:r>
              <w:rPr>
                <w:rFonts w:ascii="Calibri" w:hAnsi="Calibri"/>
                <w:color w:val="1F2A37"/>
                <w:sz w:val="20"/>
              </w:rPr>
              <w:t>KKN'de kabul edilen sınır değer.</w:t>
            </w:r>
          </w:p>
        </w:tc>
      </w:tr>
      <w:tr>
        <w:tc>
          <w:tcPr>
            <w:tcW w:type="dxa" w:w="4513"/>
          </w:tcPr>
          <w:p>
            <w:r/>
            <w:r>
              <w:rPr>
                <w:rFonts w:ascii="Calibri" w:hAnsi="Calibri"/>
                <w:color w:val="1F2A37"/>
                <w:sz w:val="20"/>
              </w:rPr>
              <w:t>İzleme</w:t>
            </w:r>
          </w:p>
        </w:tc>
        <w:tc>
          <w:tcPr>
            <w:tcW w:type="dxa" w:w="4513"/>
          </w:tcPr>
          <w:p>
            <w:r/>
            <w:r>
              <w:rPr>
                <w:rFonts w:ascii="Calibri" w:hAnsi="Calibri"/>
                <w:color w:val="1F2A37"/>
                <w:sz w:val="20"/>
              </w:rPr>
              <w:t>Limit içinde kalındığının sürekli doğrulanması.</w:t>
            </w:r>
          </w:p>
        </w:tc>
      </w:tr>
      <w:tr>
        <w:tc>
          <w:tcPr>
            <w:tcW w:type="dxa" w:w="4513"/>
            <w:shd w:fill="F4F6F9"/>
          </w:tcPr>
          <w:p>
            <w:r/>
            <w:r>
              <w:rPr>
                <w:rFonts w:ascii="Calibri" w:hAnsi="Calibri"/>
                <w:color w:val="1F2A37"/>
                <w:sz w:val="20"/>
              </w:rPr>
              <w:t>Karar Ağacı</w:t>
            </w:r>
          </w:p>
        </w:tc>
        <w:tc>
          <w:tcPr>
            <w:tcW w:type="dxa" w:w="4513"/>
            <w:shd w:fill="F4F6F9"/>
          </w:tcPr>
          <w:p>
            <w:r/>
            <w:r>
              <w:rPr>
                <w:rFonts w:ascii="Calibri" w:hAnsi="Calibri"/>
                <w:color w:val="1F2A37"/>
                <w:sz w:val="20"/>
              </w:rPr>
              <w:t>KKN tespitinde kullanılan mantıksal akış.</w:t>
            </w:r>
          </w:p>
        </w:tc>
      </w:tr>
      <w:tr>
        <w:tc>
          <w:tcPr>
            <w:tcW w:type="dxa" w:w="4513"/>
          </w:tcPr>
          <w:p>
            <w:r/>
            <w:r>
              <w:rPr>
                <w:rFonts w:ascii="Calibri" w:hAnsi="Calibri"/>
                <w:color w:val="1F2A37"/>
                <w:sz w:val="20"/>
              </w:rPr>
              <w:t>PRP</w:t>
            </w:r>
          </w:p>
        </w:tc>
        <w:tc>
          <w:tcPr>
            <w:tcW w:type="dxa" w:w="4513"/>
          </w:tcPr>
          <w:p>
            <w:r/>
            <w:r>
              <w:rPr>
                <w:rFonts w:ascii="Calibri" w:hAnsi="Calibri"/>
                <w:color w:val="1F2A37"/>
                <w:sz w:val="20"/>
              </w:rPr>
              <w:t>Ön gereksinim programları.</w:t>
            </w:r>
          </w:p>
        </w:tc>
      </w:tr>
      <w:tr>
        <w:tc>
          <w:tcPr>
            <w:tcW w:type="dxa" w:w="4513"/>
            <w:shd w:fill="F4F6F9"/>
          </w:tcPr>
          <w:p>
            <w:r/>
            <w:r>
              <w:rPr>
                <w:rFonts w:ascii="Calibri" w:hAnsi="Calibri"/>
                <w:color w:val="1F2A37"/>
                <w:sz w:val="20"/>
              </w:rPr>
              <w:t>Doğrulama</w:t>
            </w:r>
          </w:p>
        </w:tc>
        <w:tc>
          <w:tcPr>
            <w:tcW w:type="dxa" w:w="4513"/>
            <w:shd w:fill="F4F6F9"/>
          </w:tcPr>
          <w:p>
            <w:r/>
            <w:r>
              <w:rPr>
                <w:rFonts w:ascii="Calibri" w:hAnsi="Calibri"/>
                <w:color w:val="1F2A37"/>
                <w:sz w:val="20"/>
              </w:rPr>
              <w:t>Sistemin tasarlandığı gibi çalıştığının kanıtı.</w:t>
            </w:r>
          </w:p>
        </w:tc>
      </w:tr>
      <w:tr>
        <w:tc>
          <w:tcPr>
            <w:tcW w:type="dxa" w:w="4513"/>
          </w:tcPr>
          <w:p>
            <w:r/>
            <w:r>
              <w:rPr>
                <w:rFonts w:ascii="Calibri" w:hAnsi="Calibri"/>
                <w:color w:val="1F2A37"/>
                <w:sz w:val="20"/>
              </w:rPr>
              <w:t>Geçerli Kılma</w:t>
            </w:r>
          </w:p>
        </w:tc>
        <w:tc>
          <w:tcPr>
            <w:tcW w:type="dxa" w:w="4513"/>
          </w:tcPr>
          <w:p>
            <w:r/>
            <w:r>
              <w:rPr>
                <w:rFonts w:ascii="Calibri" w:hAnsi="Calibri"/>
                <w:color w:val="1F2A37"/>
                <w:sz w:val="20"/>
              </w:rPr>
              <w:t>Kontrolün gerçekten tehlikeyi önlediğinin bilimsel kanıtı.</w:t>
            </w:r>
          </w:p>
        </w:tc>
      </w:tr>
      <w:tr>
        <w:tc>
          <w:tcPr>
            <w:tcW w:type="dxa" w:w="4513"/>
            <w:shd w:fill="F4F6F9"/>
          </w:tcPr>
          <w:p>
            <w:r/>
            <w:r>
              <w:rPr>
                <w:rFonts w:ascii="Calibri" w:hAnsi="Calibri"/>
                <w:color w:val="1F2A37"/>
                <w:sz w:val="20"/>
              </w:rPr>
              <w:t>Akış Şeması</w:t>
            </w:r>
          </w:p>
        </w:tc>
        <w:tc>
          <w:tcPr>
            <w:tcW w:type="dxa" w:w="4513"/>
            <w:shd w:fill="F4F6F9"/>
          </w:tcPr>
          <w:p>
            <w:r/>
            <w:r>
              <w:rPr>
                <w:rFonts w:ascii="Calibri" w:hAnsi="Calibri"/>
                <w:color w:val="1F2A37"/>
                <w:sz w:val="20"/>
              </w:rPr>
              <w:t>Süreç adımlarının görsel haritası.</w:t>
            </w:r>
          </w:p>
        </w:tc>
      </w:tr>
      <w:tr>
        <w:tc>
          <w:tcPr>
            <w:tcW w:type="dxa" w:w="4513"/>
          </w:tcPr>
          <w:p>
            <w:r/>
            <w:r>
              <w:rPr>
                <w:rFonts w:ascii="Calibri" w:hAnsi="Calibri"/>
                <w:color w:val="1F2A37"/>
                <w:sz w:val="20"/>
              </w:rPr>
              <w:t>HACCP Ekibi</w:t>
            </w:r>
          </w:p>
        </w:tc>
        <w:tc>
          <w:tcPr>
            <w:tcW w:type="dxa" w:w="4513"/>
          </w:tcPr>
          <w:p>
            <w:r/>
            <w:r>
              <w:rPr>
                <w:rFonts w:ascii="Calibri" w:hAnsi="Calibri"/>
                <w:color w:val="1F2A37"/>
                <w:sz w:val="20"/>
              </w:rPr>
              <w:t>Çok disiplinli analiz ve uygulama ekibi.</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