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ISO 27001:2022</w:t>
      </w:r>
    </w:p>
    <w:p>
      <w:pPr>
        <w:spacing w:before="0" w:after="80"/>
        <w:jc w:val="left"/>
      </w:pPr>
      <w:r>
        <w:rPr>
          <w:rFonts w:ascii="Calibri" w:hAnsi="Calibri"/>
          <w:color w:val="1F2A37"/>
          <w:sz w:val="40"/>
        </w:rPr>
        <w:t>Bilgi Güvenliği Yönetim Sistemi</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BE006</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Tüm çalışanlar, BT ekipleri, yöneticiler</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ISO 27001:2022 standardı, kuruluşumuzun Bilgi Güvenliği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"Bilgi, korunduğu kadar değer üretir."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ISO 27001:2022 standardı, kuruluşumuzun Bilgi Güvenliği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ISO 27001:2022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ISO 27001:2022, Bilgi Güvenliği Yönetim Sistemi alanında Tüm çalışanlar, BT ekipleri, yöneticiler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ISO 27001:2022, kuruluşların Bilgi Güvenliği Yönetim Sistemi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Bilgi Varlığı: Kuruluş için değer taşıyan veri, sistem, süreç veya kişi.</w:t>
      </w:r>
    </w:p>
    <w:p>
      <w:pPr>
        <w:pStyle w:val="ListeParagraf"/>
        <w:spacing w:after="60"/>
        <w:ind w:left="397"/>
      </w:pPr>
      <w:r>
        <w:rPr>
          <w:rFonts w:ascii="Calibri" w:hAnsi="Calibri"/>
          <w:color w:val="1F2A37"/>
          <w:sz w:val="22"/>
        </w:rPr>
        <w:t>•  Tehdit: Varlığa zarar verebilecek olası kaynak veya olay.</w:t>
      </w:r>
    </w:p>
    <w:p>
      <w:pPr>
        <w:pStyle w:val="ListeParagraf"/>
        <w:spacing w:after="60"/>
        <w:ind w:left="397"/>
      </w:pPr>
      <w:r>
        <w:rPr>
          <w:rFonts w:ascii="Calibri" w:hAnsi="Calibri"/>
          <w:color w:val="1F2A37"/>
          <w:sz w:val="22"/>
        </w:rPr>
        <w:t>•  Açıklık: Tehditten yararlanılabilecek zafiyet.</w:t>
      </w:r>
    </w:p>
    <w:p>
      <w:pPr>
        <w:pStyle w:val="ListeParagraf"/>
        <w:spacing w:after="60"/>
        <w:ind w:left="397"/>
      </w:pPr>
      <w:r>
        <w:rPr>
          <w:rFonts w:ascii="Calibri" w:hAnsi="Calibri"/>
          <w:color w:val="1F2A37"/>
          <w:sz w:val="22"/>
        </w:rPr>
        <w:t>•  Risk: Tehdidin açıklığı kullanarak varlığa zarar verme olasılığı/etkisi.</w:t>
      </w:r>
    </w:p>
    <w:p>
      <w:pPr>
        <w:pStyle w:val="ListeParagraf"/>
        <w:spacing w:after="60"/>
        <w:ind w:left="397"/>
      </w:pPr>
      <w:r>
        <w:rPr>
          <w:rFonts w:ascii="Calibri" w:hAnsi="Calibri"/>
          <w:color w:val="1F2A37"/>
          <w:sz w:val="22"/>
        </w:rPr>
        <w:t>•  Kontrol: Riski azaltmaya yönelik önlem.</w:t>
      </w:r>
    </w:p>
    <w:p>
      <w:pPr>
        <w:pStyle w:val="ListeParagraf"/>
        <w:spacing w:after="60"/>
        <w:ind w:left="397"/>
      </w:pPr>
      <w:r>
        <w:rPr>
          <w:rFonts w:ascii="Calibri" w:hAnsi="Calibri"/>
          <w:color w:val="1F2A37"/>
          <w:sz w:val="22"/>
        </w:rPr>
        <w:t>•  CIA: Gizlilik, Bütünlük, Erişilebilirlik.</w:t>
      </w:r>
    </w:p>
    <w:p>
      <w:pPr>
        <w:pStyle w:val="ListeParagraf"/>
        <w:spacing w:after="60"/>
        <w:ind w:left="397"/>
      </w:pPr>
      <w:r>
        <w:rPr>
          <w:rFonts w:ascii="Calibri" w:hAnsi="Calibri"/>
          <w:color w:val="1F2A37"/>
          <w:sz w:val="22"/>
        </w:rPr>
        <w:t>•  Annex A: Standardın referans kontroller eki.</w:t>
      </w:r>
    </w:p>
    <w:p>
      <w:pPr>
        <w:pStyle w:val="ListeParagraf"/>
        <w:spacing w:after="60"/>
        <w:ind w:left="397"/>
      </w:pPr>
      <w:r>
        <w:rPr>
          <w:rFonts w:ascii="Calibri" w:hAnsi="Calibri"/>
          <w:color w:val="1F2A37"/>
          <w:sz w:val="22"/>
        </w:rPr>
        <w:t>•  Bilgi Güvenliği Olayı: Güvenlik politikasının ihlal edildiği veya başarısız olduğu olay.</w:t>
      </w:r>
    </w:p>
    <w:p>
      <w:pPr>
        <w:pStyle w:val="ListeParagraf"/>
        <w:spacing w:after="60"/>
        <w:ind w:left="397"/>
      </w:pPr>
      <w:r>
        <w:rPr>
          <w:rFonts w:ascii="Calibri" w:hAnsi="Calibri"/>
          <w:color w:val="1F2A37"/>
          <w:sz w:val="22"/>
        </w:rPr>
        <w:t>•  BCP/DRP: İş Sürekliliği / Felaket Kurtarma planları.</w:t>
      </w:r>
    </w:p>
    <w:p>
      <w:pPr>
        <w:pStyle w:val="ListeParagraf"/>
        <w:spacing w:after="60"/>
        <w:ind w:left="397"/>
      </w:pPr>
      <w:r>
        <w:rPr>
          <w:rFonts w:ascii="Calibri" w:hAnsi="Calibri"/>
          <w:color w:val="1F2A37"/>
          <w:sz w:val="22"/>
        </w:rPr>
        <w:t>•  Sınıflandırma: Bilginin hassasiyetine göre kategorize edilmesi.</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1995 — BS 7799 yayımlandı (İngiltere).</w:t>
      </w:r>
    </w:p>
    <w:p>
      <w:pPr>
        <w:pStyle w:val="ListeParagraf"/>
        <w:spacing w:after="60"/>
        <w:ind w:left="397"/>
      </w:pPr>
      <w:r>
        <w:rPr>
          <w:rFonts w:ascii="Calibri" w:hAnsi="Calibri"/>
          <w:color w:val="1F2A37"/>
          <w:sz w:val="22"/>
        </w:rPr>
        <w:t>•  2005 — ISO 27001 ilk sürümü.</w:t>
      </w:r>
    </w:p>
    <w:p>
      <w:pPr>
        <w:pStyle w:val="ListeParagraf"/>
        <w:spacing w:after="60"/>
        <w:ind w:left="397"/>
      </w:pPr>
      <w:r>
        <w:rPr>
          <w:rFonts w:ascii="Calibri" w:hAnsi="Calibri"/>
          <w:color w:val="1F2A37"/>
          <w:sz w:val="22"/>
        </w:rPr>
        <w:t>•  2013 — Revizyon; 114 kontrol Annex A'da tanımlandı.</w:t>
      </w:r>
    </w:p>
    <w:p>
      <w:pPr>
        <w:pStyle w:val="ListeParagraf"/>
        <w:spacing w:after="60"/>
        <w:ind w:left="397"/>
      </w:pPr>
      <w:r>
        <w:rPr>
          <w:rFonts w:ascii="Calibri" w:hAnsi="Calibri"/>
          <w:color w:val="1F2A37"/>
          <w:sz w:val="22"/>
        </w:rPr>
        <w:t>•  2022 — Yeni sürüm; 93 kontrole sadeleştirme, dört temaya (Organizasyonel, İnsan, Fiziksel, Teknolojik) gruplama.</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ISO 27001:2022'in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CIA Üçlemesi</w:t>
      </w:r>
    </w:p>
    <w:p>
      <w:pPr>
        <w:spacing w:before="0" w:after="120"/>
      </w:pPr>
      <w:r>
        <w:rPr>
          <w:rFonts w:ascii="Calibri" w:hAnsi="Calibri"/>
          <w:sz w:val="22"/>
        </w:rPr>
        <w:t>Gizlilik (Confidentiality), Bütünlük (Integrity), Erişilebilirlik (Availability).</w:t>
      </w:r>
    </w:p>
    <w:p>
      <w:pPr>
        <w:pStyle w:val="Balk2"/>
        <w:spacing w:before="200" w:after="160"/>
      </w:pPr>
      <w:r>
        <w:rPr>
          <w:rFonts w:ascii="Calibri" w:hAnsi="Calibri"/>
        </w:rPr>
        <w:t>3.2  Risk Tabanlı Yaklaşım</w:t>
      </w:r>
    </w:p>
    <w:p>
      <w:pPr>
        <w:spacing w:before="0" w:after="120"/>
      </w:pPr>
      <w:r>
        <w:rPr>
          <w:rFonts w:ascii="Calibri" w:hAnsi="Calibri"/>
          <w:sz w:val="22"/>
        </w:rPr>
        <w:t>Varlık-tehdit-açıklık analizi ile öncelikli kontrol seçimi.</w:t>
      </w:r>
    </w:p>
    <w:p>
      <w:pPr>
        <w:pStyle w:val="Balk2"/>
        <w:spacing w:before="200" w:after="160"/>
      </w:pPr>
      <w:r>
        <w:rPr>
          <w:rFonts w:ascii="Calibri" w:hAnsi="Calibri"/>
        </w:rPr>
        <w:t>3.3  En Az Ayrıcalık</w:t>
      </w:r>
    </w:p>
    <w:p>
      <w:pPr>
        <w:spacing w:before="0" w:after="120"/>
      </w:pPr>
      <w:r>
        <w:rPr>
          <w:rFonts w:ascii="Calibri" w:hAnsi="Calibri"/>
          <w:sz w:val="22"/>
        </w:rPr>
        <w:t>Her kullanıcıya yalnızca işi için gereken erişim verilir.</w:t>
      </w:r>
    </w:p>
    <w:p>
      <w:pPr>
        <w:pStyle w:val="Balk2"/>
        <w:spacing w:before="200" w:after="160"/>
      </w:pPr>
      <w:r>
        <w:rPr>
          <w:rFonts w:ascii="Calibri" w:hAnsi="Calibri"/>
        </w:rPr>
        <w:t>3.4  Derinlemesine Savunma</w:t>
      </w:r>
    </w:p>
    <w:p>
      <w:pPr>
        <w:spacing w:before="0" w:after="120"/>
      </w:pPr>
      <w:r>
        <w:rPr>
          <w:rFonts w:ascii="Calibri" w:hAnsi="Calibri"/>
          <w:sz w:val="22"/>
        </w:rPr>
        <w:t>Birden çok kontrol katmanı kullanılır.</w:t>
      </w:r>
    </w:p>
    <w:p>
      <w:pPr>
        <w:pStyle w:val="Balk2"/>
        <w:spacing w:before="200" w:after="160"/>
      </w:pPr>
      <w:r>
        <w:rPr>
          <w:rFonts w:ascii="Calibri" w:hAnsi="Calibri"/>
        </w:rPr>
        <w:t>3.5  Sürekli İzleme</w:t>
      </w:r>
    </w:p>
    <w:p>
      <w:pPr>
        <w:spacing w:before="0" w:after="120"/>
      </w:pPr>
      <w:r>
        <w:rPr>
          <w:rFonts w:ascii="Calibri" w:hAnsi="Calibri"/>
          <w:sz w:val="22"/>
        </w:rPr>
        <w:t>Olaylar ve güvenlik metrikleri izlenir.</w:t>
      </w:r>
    </w:p>
    <w:p>
      <w:pPr>
        <w:pStyle w:val="Balk2"/>
        <w:spacing w:before="200" w:after="160"/>
      </w:pPr>
      <w:r>
        <w:rPr>
          <w:rFonts w:ascii="Calibri" w:hAnsi="Calibri"/>
        </w:rPr>
        <w:t>3.6  Bilinçlendirme</w:t>
      </w:r>
    </w:p>
    <w:p>
      <w:pPr>
        <w:spacing w:before="0" w:after="120"/>
      </w:pPr>
      <w:r>
        <w:rPr>
          <w:rFonts w:ascii="Calibri" w:hAnsi="Calibri"/>
          <w:sz w:val="22"/>
        </w:rPr>
        <w:t>İnsan faktörü en kritik açıklıktır; eğitim sürekli olmalıdır.</w:t>
      </w:r>
    </w:p>
    <w:p>
      <w:pPr>
        <w:pStyle w:val="Balk2"/>
        <w:spacing w:before="200" w:after="160"/>
      </w:pPr>
      <w:r>
        <w:rPr>
          <w:rFonts w:ascii="Calibri" w:hAnsi="Calibri"/>
        </w:rPr>
        <w:t>3.7  Olay Yönetimi</w:t>
      </w:r>
    </w:p>
    <w:p>
      <w:pPr>
        <w:spacing w:before="0" w:after="120"/>
      </w:pPr>
      <w:r>
        <w:rPr>
          <w:rFonts w:ascii="Calibri" w:hAnsi="Calibri"/>
          <w:sz w:val="22"/>
        </w:rPr>
        <w:t>Bildirim, müdahale, kök neden ve iyileştirme döngüsü.</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Bilgi Varlığı</w:t>
            </w:r>
          </w:p>
        </w:tc>
        <w:tc>
          <w:tcPr>
            <w:tcW w:type="dxa" w:w="4513"/>
            <w:shd w:fill="F4F6F9"/>
          </w:tcPr>
          <w:p>
            <w:r/>
            <w:r>
              <w:rPr>
                <w:rFonts w:ascii="Calibri" w:hAnsi="Calibri"/>
                <w:color w:val="1F2A37"/>
                <w:sz w:val="20"/>
              </w:rPr>
              <w:t>Kuruluş için değer taşıyan veri, sistem, süreç veya kişi.</w:t>
            </w:r>
          </w:p>
        </w:tc>
      </w:tr>
      <w:tr>
        <w:tc>
          <w:tcPr>
            <w:tcW w:type="dxa" w:w="4513"/>
          </w:tcPr>
          <w:p>
            <w:r/>
            <w:r>
              <w:rPr>
                <w:rFonts w:ascii="Calibri" w:hAnsi="Calibri"/>
                <w:color w:val="1F2A37"/>
                <w:sz w:val="20"/>
              </w:rPr>
              <w:t>Tehdit</w:t>
            </w:r>
          </w:p>
        </w:tc>
        <w:tc>
          <w:tcPr>
            <w:tcW w:type="dxa" w:w="4513"/>
          </w:tcPr>
          <w:p>
            <w:r/>
            <w:r>
              <w:rPr>
                <w:rFonts w:ascii="Calibri" w:hAnsi="Calibri"/>
                <w:color w:val="1F2A37"/>
                <w:sz w:val="20"/>
              </w:rPr>
              <w:t>Varlığa zarar verebilecek olası kaynak veya olay.</w:t>
            </w:r>
          </w:p>
        </w:tc>
      </w:tr>
      <w:tr>
        <w:tc>
          <w:tcPr>
            <w:tcW w:type="dxa" w:w="4513"/>
            <w:shd w:fill="F4F6F9"/>
          </w:tcPr>
          <w:p>
            <w:r/>
            <w:r>
              <w:rPr>
                <w:rFonts w:ascii="Calibri" w:hAnsi="Calibri"/>
                <w:color w:val="1F2A37"/>
                <w:sz w:val="20"/>
              </w:rPr>
              <w:t>Açıklık</w:t>
            </w:r>
          </w:p>
        </w:tc>
        <w:tc>
          <w:tcPr>
            <w:tcW w:type="dxa" w:w="4513"/>
            <w:shd w:fill="F4F6F9"/>
          </w:tcPr>
          <w:p>
            <w:r/>
            <w:r>
              <w:rPr>
                <w:rFonts w:ascii="Calibri" w:hAnsi="Calibri"/>
                <w:color w:val="1F2A37"/>
                <w:sz w:val="20"/>
              </w:rPr>
              <w:t>Tehditten yararlanılabilecek zafiyet.</w:t>
            </w:r>
          </w:p>
        </w:tc>
      </w:tr>
      <w:tr>
        <w:tc>
          <w:tcPr>
            <w:tcW w:type="dxa" w:w="4513"/>
          </w:tcPr>
          <w:p>
            <w:r/>
            <w:r>
              <w:rPr>
                <w:rFonts w:ascii="Calibri" w:hAnsi="Calibri"/>
                <w:color w:val="1F2A37"/>
                <w:sz w:val="20"/>
              </w:rPr>
              <w:t>Risk</w:t>
            </w:r>
          </w:p>
        </w:tc>
        <w:tc>
          <w:tcPr>
            <w:tcW w:type="dxa" w:w="4513"/>
          </w:tcPr>
          <w:p>
            <w:r/>
            <w:r>
              <w:rPr>
                <w:rFonts w:ascii="Calibri" w:hAnsi="Calibri"/>
                <w:color w:val="1F2A37"/>
                <w:sz w:val="20"/>
              </w:rPr>
              <w:t>Tehdidin açıklığı kullanarak varlığa zarar verme olasılığı/etkisi.</w:t>
            </w:r>
          </w:p>
        </w:tc>
      </w:tr>
      <w:tr>
        <w:tc>
          <w:tcPr>
            <w:tcW w:type="dxa" w:w="4513"/>
            <w:shd w:fill="F4F6F9"/>
          </w:tcPr>
          <w:p>
            <w:r/>
            <w:r>
              <w:rPr>
                <w:rFonts w:ascii="Calibri" w:hAnsi="Calibri"/>
                <w:color w:val="1F2A37"/>
                <w:sz w:val="20"/>
              </w:rPr>
              <w:t>Kontrol</w:t>
            </w:r>
          </w:p>
        </w:tc>
        <w:tc>
          <w:tcPr>
            <w:tcW w:type="dxa" w:w="4513"/>
            <w:shd w:fill="F4F6F9"/>
          </w:tcPr>
          <w:p>
            <w:r/>
            <w:r>
              <w:rPr>
                <w:rFonts w:ascii="Calibri" w:hAnsi="Calibri"/>
                <w:color w:val="1F2A37"/>
                <w:sz w:val="20"/>
              </w:rPr>
              <w:t>Riski azaltmaya yönelik önlem.</w:t>
            </w:r>
          </w:p>
        </w:tc>
      </w:tr>
      <w:tr>
        <w:tc>
          <w:tcPr>
            <w:tcW w:type="dxa" w:w="4513"/>
          </w:tcPr>
          <w:p>
            <w:r/>
            <w:r>
              <w:rPr>
                <w:rFonts w:ascii="Calibri" w:hAnsi="Calibri"/>
                <w:color w:val="1F2A37"/>
                <w:sz w:val="20"/>
              </w:rPr>
              <w:t>CIA</w:t>
            </w:r>
          </w:p>
        </w:tc>
        <w:tc>
          <w:tcPr>
            <w:tcW w:type="dxa" w:w="4513"/>
          </w:tcPr>
          <w:p>
            <w:r/>
            <w:r>
              <w:rPr>
                <w:rFonts w:ascii="Calibri" w:hAnsi="Calibri"/>
                <w:color w:val="1F2A37"/>
                <w:sz w:val="20"/>
              </w:rPr>
              <w:t>Gizlilik, Bütünlük, Erişilebilirlik.</w:t>
            </w:r>
          </w:p>
        </w:tc>
      </w:tr>
      <w:tr>
        <w:tc>
          <w:tcPr>
            <w:tcW w:type="dxa" w:w="4513"/>
            <w:shd w:fill="F4F6F9"/>
          </w:tcPr>
          <w:p>
            <w:r/>
            <w:r>
              <w:rPr>
                <w:rFonts w:ascii="Calibri" w:hAnsi="Calibri"/>
                <w:color w:val="1F2A37"/>
                <w:sz w:val="20"/>
              </w:rPr>
              <w:t>Annex A</w:t>
            </w:r>
          </w:p>
        </w:tc>
        <w:tc>
          <w:tcPr>
            <w:tcW w:type="dxa" w:w="4513"/>
            <w:shd w:fill="F4F6F9"/>
          </w:tcPr>
          <w:p>
            <w:r/>
            <w:r>
              <w:rPr>
                <w:rFonts w:ascii="Calibri" w:hAnsi="Calibri"/>
                <w:color w:val="1F2A37"/>
                <w:sz w:val="20"/>
              </w:rPr>
              <w:t>Standardın referans kontroller eki.</w:t>
            </w:r>
          </w:p>
        </w:tc>
      </w:tr>
      <w:tr>
        <w:tc>
          <w:tcPr>
            <w:tcW w:type="dxa" w:w="4513"/>
          </w:tcPr>
          <w:p>
            <w:r/>
            <w:r>
              <w:rPr>
                <w:rFonts w:ascii="Calibri" w:hAnsi="Calibri"/>
                <w:color w:val="1F2A37"/>
                <w:sz w:val="20"/>
              </w:rPr>
              <w:t>Bilgi Güvenliği Olayı</w:t>
            </w:r>
          </w:p>
        </w:tc>
        <w:tc>
          <w:tcPr>
            <w:tcW w:type="dxa" w:w="4513"/>
          </w:tcPr>
          <w:p>
            <w:r/>
            <w:r>
              <w:rPr>
                <w:rFonts w:ascii="Calibri" w:hAnsi="Calibri"/>
                <w:color w:val="1F2A37"/>
                <w:sz w:val="20"/>
              </w:rPr>
              <w:t>Güvenlik politikasının ihlal edildiği veya başarısız olduğu olay.</w:t>
            </w:r>
          </w:p>
        </w:tc>
      </w:tr>
      <w:tr>
        <w:tc>
          <w:tcPr>
            <w:tcW w:type="dxa" w:w="4513"/>
            <w:shd w:fill="F4F6F9"/>
          </w:tcPr>
          <w:p>
            <w:r/>
            <w:r>
              <w:rPr>
                <w:rFonts w:ascii="Calibri" w:hAnsi="Calibri"/>
                <w:color w:val="1F2A37"/>
                <w:sz w:val="20"/>
              </w:rPr>
              <w:t>BCP/DRP</w:t>
            </w:r>
          </w:p>
        </w:tc>
        <w:tc>
          <w:tcPr>
            <w:tcW w:type="dxa" w:w="4513"/>
            <w:shd w:fill="F4F6F9"/>
          </w:tcPr>
          <w:p>
            <w:r/>
            <w:r>
              <w:rPr>
                <w:rFonts w:ascii="Calibri" w:hAnsi="Calibri"/>
                <w:color w:val="1F2A37"/>
                <w:sz w:val="20"/>
              </w:rPr>
              <w:t>İş Sürekliliği / Felaket Kurtarma planları.</w:t>
            </w:r>
          </w:p>
        </w:tc>
      </w:tr>
      <w:tr>
        <w:tc>
          <w:tcPr>
            <w:tcW w:type="dxa" w:w="4513"/>
          </w:tcPr>
          <w:p>
            <w:r/>
            <w:r>
              <w:rPr>
                <w:rFonts w:ascii="Calibri" w:hAnsi="Calibri"/>
                <w:color w:val="1F2A37"/>
                <w:sz w:val="20"/>
              </w:rPr>
              <w:t>Sınıflandırma</w:t>
            </w:r>
          </w:p>
        </w:tc>
        <w:tc>
          <w:tcPr>
            <w:tcW w:type="dxa" w:w="4513"/>
          </w:tcPr>
          <w:p>
            <w:r/>
            <w:r>
              <w:rPr>
                <w:rFonts w:ascii="Calibri" w:hAnsi="Calibri"/>
                <w:color w:val="1F2A37"/>
                <w:sz w:val="20"/>
              </w:rPr>
              <w:t>Bilginin hassasiyetine göre kategorize edilmesi.</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