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Proses Yönetimi</w:t>
      </w:r>
    </w:p>
    <w:p>
      <w:pPr>
        <w:spacing w:before="0" w:after="80"/>
        <w:jc w:val="left"/>
      </w:pPr>
      <w:r>
        <w:rPr>
          <w:rFonts w:ascii="Calibri" w:hAnsi="Calibri"/>
          <w:color w:val="1F2A37"/>
          <w:sz w:val="40"/>
        </w:rPr>
        <w:t>Süreç Yaklaşımı ve İyileştirme</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BE007</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Süreç sahipleri, yöneticiler, kalite uzmanları</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Proses Yönetimi standardı, kuruluşumuzun Süreç Yaklaşımı ve İyileştirme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"Sonuç sistemin çıktısıdır; sürecini değiştirmeden sonucu değiştiremezsin."</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Proses Yönetimi standardı, kuruluşumuzun Süreç Yaklaşımı ve İyileştirme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Proses Yönetimi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Proses Yönetimi, Süreç Yaklaşımı ve İyileştirme alanında Süreç sahipleri, yöneticiler, kalite uzmanları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Proses Yönetimi, kuruluşların Süreç Yaklaşımı ve İyileştirme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Süreç: Girdi → faaliyet → çıktı zinciri.</w:t>
      </w:r>
    </w:p>
    <w:p>
      <w:pPr>
        <w:pStyle w:val="ListeParagraf"/>
        <w:spacing w:after="60"/>
        <w:ind w:left="397"/>
      </w:pPr>
      <w:r>
        <w:rPr>
          <w:rFonts w:ascii="Calibri" w:hAnsi="Calibri"/>
          <w:color w:val="1F2A37"/>
          <w:sz w:val="22"/>
        </w:rPr>
        <w:t>•  Süreç Sahibi: Sürecin performansından ve iyileştirilmesinden sorumlu kişi.</w:t>
      </w:r>
    </w:p>
    <w:p>
      <w:pPr>
        <w:pStyle w:val="ListeParagraf"/>
        <w:spacing w:after="60"/>
        <w:ind w:left="397"/>
      </w:pPr>
      <w:r>
        <w:rPr>
          <w:rFonts w:ascii="Calibri" w:hAnsi="Calibri"/>
          <w:color w:val="1F2A37"/>
          <w:sz w:val="22"/>
        </w:rPr>
        <w:t>•  KPI: Performans göstergesi (örn. çevrim süresi, ilk seferde doğru oranı).</w:t>
      </w:r>
    </w:p>
    <w:p>
      <w:pPr>
        <w:pStyle w:val="ListeParagraf"/>
        <w:spacing w:after="60"/>
        <w:ind w:left="397"/>
      </w:pPr>
      <w:r>
        <w:rPr>
          <w:rFonts w:ascii="Calibri" w:hAnsi="Calibri"/>
          <w:color w:val="1F2A37"/>
          <w:sz w:val="22"/>
        </w:rPr>
        <w:t>•  SIPOC: Tedarikçi-Girdi-Süreç-Çıktı-Müşteri haritası.</w:t>
      </w:r>
    </w:p>
    <w:p>
      <w:pPr>
        <w:pStyle w:val="ListeParagraf"/>
        <w:spacing w:after="60"/>
        <w:ind w:left="397"/>
      </w:pPr>
      <w:r>
        <w:rPr>
          <w:rFonts w:ascii="Calibri" w:hAnsi="Calibri"/>
          <w:color w:val="1F2A37"/>
          <w:sz w:val="22"/>
        </w:rPr>
        <w:t>•  BPMN: Süreç modelleme için standart notasyon.</w:t>
      </w:r>
    </w:p>
    <w:p>
      <w:pPr>
        <w:pStyle w:val="ListeParagraf"/>
        <w:spacing w:after="60"/>
        <w:ind w:left="397"/>
      </w:pPr>
      <w:r>
        <w:rPr>
          <w:rFonts w:ascii="Calibri" w:hAnsi="Calibri"/>
          <w:color w:val="1F2A37"/>
          <w:sz w:val="22"/>
        </w:rPr>
        <w:t>•  Değer Akışı: Müşteriye değer katan adımların akışı.</w:t>
      </w:r>
    </w:p>
    <w:p>
      <w:pPr>
        <w:pStyle w:val="ListeParagraf"/>
        <w:spacing w:after="60"/>
        <w:ind w:left="397"/>
      </w:pPr>
      <w:r>
        <w:rPr>
          <w:rFonts w:ascii="Calibri" w:hAnsi="Calibri"/>
          <w:color w:val="1F2A37"/>
          <w:sz w:val="22"/>
        </w:rPr>
        <w:t>•  İsraf (Muda): Değer katmayan faaliyet (yalın).</w:t>
      </w:r>
    </w:p>
    <w:p>
      <w:pPr>
        <w:pStyle w:val="ListeParagraf"/>
        <w:spacing w:after="60"/>
        <w:ind w:left="397"/>
      </w:pPr>
      <w:r>
        <w:rPr>
          <w:rFonts w:ascii="Calibri" w:hAnsi="Calibri"/>
          <w:color w:val="1F2A37"/>
          <w:sz w:val="22"/>
        </w:rPr>
        <w:t>•  Kaizen: Sürekli, küçük iyileştirme felsefesi.</w:t>
      </w:r>
    </w:p>
    <w:p>
      <w:pPr>
        <w:pStyle w:val="ListeParagraf"/>
        <w:spacing w:after="60"/>
        <w:ind w:left="397"/>
      </w:pPr>
      <w:r>
        <w:rPr>
          <w:rFonts w:ascii="Calibri" w:hAnsi="Calibri"/>
          <w:color w:val="1F2A37"/>
          <w:sz w:val="22"/>
        </w:rPr>
        <w:t>•  DMAIC: Tanımla-Ölç-Analiz Et-İyileştir-Kontrol Et (Altı Sigma).</w:t>
      </w:r>
    </w:p>
    <w:p>
      <w:pPr>
        <w:pStyle w:val="ListeParagraf"/>
        <w:spacing w:after="60"/>
        <w:ind w:left="397"/>
      </w:pPr>
      <w:r>
        <w:rPr>
          <w:rFonts w:ascii="Calibri" w:hAnsi="Calibri"/>
          <w:color w:val="1F2A37"/>
          <w:sz w:val="22"/>
        </w:rPr>
        <w:t>•  Süreç Olgunluğu: Süreçlerin standartlaşma ve yönetilebilirlik düzeyi.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1950'ler — Deming ve Juran kalite/süreç çalışmalarının temelini attı.</w:t>
      </w:r>
    </w:p>
    <w:p>
      <w:pPr>
        <w:pStyle w:val="ListeParagraf"/>
        <w:spacing w:after="60"/>
        <w:ind w:left="397"/>
      </w:pPr>
      <w:r>
        <w:rPr>
          <w:rFonts w:ascii="Calibri" w:hAnsi="Calibri"/>
          <w:color w:val="1F2A37"/>
          <w:sz w:val="22"/>
        </w:rPr>
        <w:t>•  1980'ler — Toplam Kalite Yönetimi, ABD ve Japonya'da yayıldı.</w:t>
      </w:r>
    </w:p>
    <w:p>
      <w:pPr>
        <w:pStyle w:val="ListeParagraf"/>
        <w:spacing w:after="60"/>
        <w:ind w:left="397"/>
      </w:pPr>
      <w:r>
        <w:rPr>
          <w:rFonts w:ascii="Calibri" w:hAnsi="Calibri"/>
          <w:color w:val="1F2A37"/>
          <w:sz w:val="22"/>
        </w:rPr>
        <w:t>•  1990'lar — Süreç Yeniden Mühendisliği (Hammer &amp; Champy).</w:t>
      </w:r>
    </w:p>
    <w:p>
      <w:pPr>
        <w:pStyle w:val="ListeParagraf"/>
        <w:spacing w:after="60"/>
        <w:ind w:left="397"/>
      </w:pPr>
      <w:r>
        <w:rPr>
          <w:rFonts w:ascii="Calibri" w:hAnsi="Calibri"/>
          <w:color w:val="1F2A37"/>
          <w:sz w:val="22"/>
        </w:rPr>
        <w:t>•  2000'ler — Yalın, Altı Sigma ve BPM/BPMN olgunlaştı.</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Proses Yönetimi'in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Süreç Yaklaşımı</w:t>
      </w:r>
    </w:p>
    <w:p>
      <w:pPr>
        <w:spacing w:before="0" w:after="120"/>
      </w:pPr>
      <w:r>
        <w:rPr>
          <w:rFonts w:ascii="Calibri" w:hAnsi="Calibri"/>
          <w:sz w:val="22"/>
        </w:rPr>
        <w:t>Sonuç hedeflerine girdileri çıktılara dönüştüren süreçlerle ulaşılır.</w:t>
      </w:r>
    </w:p>
    <w:p>
      <w:pPr>
        <w:pStyle w:val="Balk2"/>
        <w:spacing w:before="200" w:after="160"/>
      </w:pPr>
      <w:r>
        <w:rPr>
          <w:rFonts w:ascii="Calibri" w:hAnsi="Calibri"/>
        </w:rPr>
        <w:t>3.2  Süreç Sahipliği</w:t>
      </w:r>
    </w:p>
    <w:p>
      <w:pPr>
        <w:spacing w:before="0" w:after="120"/>
      </w:pPr>
      <w:r>
        <w:rPr>
          <w:rFonts w:ascii="Calibri" w:hAnsi="Calibri"/>
          <w:sz w:val="22"/>
        </w:rPr>
        <w:t>Her sürecin sorumlusu ve KPI'ları net olmalıdır.</w:t>
      </w:r>
    </w:p>
    <w:p>
      <w:pPr>
        <w:pStyle w:val="Balk2"/>
        <w:spacing w:before="200" w:after="160"/>
      </w:pPr>
      <w:r>
        <w:rPr>
          <w:rFonts w:ascii="Calibri" w:hAnsi="Calibri"/>
        </w:rPr>
        <w:t>3.3  Müşteri Odaklılık</w:t>
      </w:r>
    </w:p>
    <w:p>
      <w:pPr>
        <w:spacing w:before="0" w:after="120"/>
      </w:pPr>
      <w:r>
        <w:rPr>
          <w:rFonts w:ascii="Calibri" w:hAnsi="Calibri"/>
          <w:sz w:val="22"/>
        </w:rPr>
        <w:t>İç ve dış müşteri ihtiyacı sürecin tasarımına yön verir.</w:t>
      </w:r>
    </w:p>
    <w:p>
      <w:pPr>
        <w:pStyle w:val="Balk2"/>
        <w:spacing w:before="200" w:after="160"/>
      </w:pPr>
      <w:r>
        <w:rPr>
          <w:rFonts w:ascii="Calibri" w:hAnsi="Calibri"/>
        </w:rPr>
        <w:t>3.4  Veriyle Yönetim</w:t>
      </w:r>
    </w:p>
    <w:p>
      <w:pPr>
        <w:spacing w:before="0" w:after="120"/>
      </w:pPr>
      <w:r>
        <w:rPr>
          <w:rFonts w:ascii="Calibri" w:hAnsi="Calibri"/>
          <w:sz w:val="22"/>
        </w:rPr>
        <w:t>Performans göstergeleri sürecin kalbidir.</w:t>
      </w:r>
    </w:p>
    <w:p>
      <w:pPr>
        <w:pStyle w:val="Balk2"/>
        <w:spacing w:before="200" w:after="160"/>
      </w:pPr>
      <w:r>
        <w:rPr>
          <w:rFonts w:ascii="Calibri" w:hAnsi="Calibri"/>
        </w:rPr>
        <w:t>3.5  PUKÖ Döngüsü</w:t>
      </w:r>
    </w:p>
    <w:p>
      <w:pPr>
        <w:spacing w:before="0" w:after="120"/>
      </w:pPr>
      <w:r>
        <w:rPr>
          <w:rFonts w:ascii="Calibri" w:hAnsi="Calibri"/>
          <w:sz w:val="22"/>
        </w:rPr>
        <w:t>Planla – Uygula – Kontrol Et – Önlem Al.</w:t>
      </w:r>
    </w:p>
    <w:p>
      <w:pPr>
        <w:pStyle w:val="Balk2"/>
        <w:spacing w:before="200" w:after="160"/>
      </w:pPr>
      <w:r>
        <w:rPr>
          <w:rFonts w:ascii="Calibri" w:hAnsi="Calibri"/>
        </w:rPr>
        <w:t>3.6  Yalın Düşünce</w:t>
      </w:r>
    </w:p>
    <w:p>
      <w:pPr>
        <w:spacing w:before="0" w:after="120"/>
      </w:pPr>
      <w:r>
        <w:rPr>
          <w:rFonts w:ascii="Calibri" w:hAnsi="Calibri"/>
          <w:sz w:val="22"/>
        </w:rPr>
        <w:t>Değer akışındaki israfların azaltılması.</w:t>
      </w:r>
    </w:p>
    <w:p>
      <w:pPr>
        <w:pStyle w:val="Balk2"/>
        <w:spacing w:before="200" w:after="160"/>
      </w:pPr>
      <w:r>
        <w:rPr>
          <w:rFonts w:ascii="Calibri" w:hAnsi="Calibri"/>
        </w:rPr>
        <w:t>3.7  Sürekli İyileştirme</w:t>
      </w:r>
    </w:p>
    <w:p>
      <w:pPr>
        <w:spacing w:before="0" w:after="120"/>
      </w:pPr>
      <w:r>
        <w:rPr>
          <w:rFonts w:ascii="Calibri" w:hAnsi="Calibri"/>
          <w:sz w:val="22"/>
        </w:rPr>
        <w:t>Küçük adımlarla kalıcı gelişim (Kaizen).</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Süreç</w:t>
            </w:r>
          </w:p>
        </w:tc>
        <w:tc>
          <w:tcPr>
            <w:tcW w:type="dxa" w:w="4513"/>
            <w:shd w:fill="F4F6F9"/>
          </w:tcPr>
          <w:p>
            <w:r/>
            <w:r>
              <w:rPr>
                <w:rFonts w:ascii="Calibri" w:hAnsi="Calibri"/>
                <w:color w:val="1F2A37"/>
                <w:sz w:val="20"/>
              </w:rPr>
              <w:t>Girdi → faaliyet → çıktı zinciri.</w:t>
            </w:r>
          </w:p>
        </w:tc>
      </w:tr>
      <w:tr>
        <w:tc>
          <w:tcPr>
            <w:tcW w:type="dxa" w:w="4513"/>
          </w:tcPr>
          <w:p>
            <w:r/>
            <w:r>
              <w:rPr>
                <w:rFonts w:ascii="Calibri" w:hAnsi="Calibri"/>
                <w:color w:val="1F2A37"/>
                <w:sz w:val="20"/>
              </w:rPr>
              <w:t>Süreç Sahibi</w:t>
            </w:r>
          </w:p>
        </w:tc>
        <w:tc>
          <w:tcPr>
            <w:tcW w:type="dxa" w:w="4513"/>
          </w:tcPr>
          <w:p>
            <w:r/>
            <w:r>
              <w:rPr>
                <w:rFonts w:ascii="Calibri" w:hAnsi="Calibri"/>
                <w:color w:val="1F2A37"/>
                <w:sz w:val="20"/>
              </w:rPr>
              <w:t>Sürecin performansından ve iyileştirilmesinden sorumlu kişi.</w:t>
            </w:r>
          </w:p>
        </w:tc>
      </w:tr>
      <w:tr>
        <w:tc>
          <w:tcPr>
            <w:tcW w:type="dxa" w:w="4513"/>
            <w:shd w:fill="F4F6F9"/>
          </w:tcPr>
          <w:p>
            <w:r/>
            <w:r>
              <w:rPr>
                <w:rFonts w:ascii="Calibri" w:hAnsi="Calibri"/>
                <w:color w:val="1F2A37"/>
                <w:sz w:val="20"/>
              </w:rPr>
              <w:t>KPI</w:t>
            </w:r>
          </w:p>
        </w:tc>
        <w:tc>
          <w:tcPr>
            <w:tcW w:type="dxa" w:w="4513"/>
            <w:shd w:fill="F4F6F9"/>
          </w:tcPr>
          <w:p>
            <w:r/>
            <w:r>
              <w:rPr>
                <w:rFonts w:ascii="Calibri" w:hAnsi="Calibri"/>
                <w:color w:val="1F2A37"/>
                <w:sz w:val="20"/>
              </w:rPr>
              <w:t>Performans göstergesi (örn. çevrim süresi, ilk seferde doğru oranı).</w:t>
            </w:r>
          </w:p>
        </w:tc>
      </w:tr>
      <w:tr>
        <w:tc>
          <w:tcPr>
            <w:tcW w:type="dxa" w:w="4513"/>
          </w:tcPr>
          <w:p>
            <w:r/>
            <w:r>
              <w:rPr>
                <w:rFonts w:ascii="Calibri" w:hAnsi="Calibri"/>
                <w:color w:val="1F2A37"/>
                <w:sz w:val="20"/>
              </w:rPr>
              <w:t>SIPOC</w:t>
            </w:r>
          </w:p>
        </w:tc>
        <w:tc>
          <w:tcPr>
            <w:tcW w:type="dxa" w:w="4513"/>
          </w:tcPr>
          <w:p>
            <w:r/>
            <w:r>
              <w:rPr>
                <w:rFonts w:ascii="Calibri" w:hAnsi="Calibri"/>
                <w:color w:val="1F2A37"/>
                <w:sz w:val="20"/>
              </w:rPr>
              <w:t>Tedarikçi-Girdi-Süreç-Çıktı-Müşteri haritası.</w:t>
            </w:r>
          </w:p>
        </w:tc>
      </w:tr>
      <w:tr>
        <w:tc>
          <w:tcPr>
            <w:tcW w:type="dxa" w:w="4513"/>
            <w:shd w:fill="F4F6F9"/>
          </w:tcPr>
          <w:p>
            <w:r/>
            <w:r>
              <w:rPr>
                <w:rFonts w:ascii="Calibri" w:hAnsi="Calibri"/>
                <w:color w:val="1F2A37"/>
                <w:sz w:val="20"/>
              </w:rPr>
              <w:t>BPMN</w:t>
            </w:r>
          </w:p>
        </w:tc>
        <w:tc>
          <w:tcPr>
            <w:tcW w:type="dxa" w:w="4513"/>
            <w:shd w:fill="F4F6F9"/>
          </w:tcPr>
          <w:p>
            <w:r/>
            <w:r>
              <w:rPr>
                <w:rFonts w:ascii="Calibri" w:hAnsi="Calibri"/>
                <w:color w:val="1F2A37"/>
                <w:sz w:val="20"/>
              </w:rPr>
              <w:t>Süreç modelleme için standart notasyon.</w:t>
            </w:r>
          </w:p>
        </w:tc>
      </w:tr>
      <w:tr>
        <w:tc>
          <w:tcPr>
            <w:tcW w:type="dxa" w:w="4513"/>
          </w:tcPr>
          <w:p>
            <w:r/>
            <w:r>
              <w:rPr>
                <w:rFonts w:ascii="Calibri" w:hAnsi="Calibri"/>
                <w:color w:val="1F2A37"/>
                <w:sz w:val="20"/>
              </w:rPr>
              <w:t>Değer Akışı</w:t>
            </w:r>
          </w:p>
        </w:tc>
        <w:tc>
          <w:tcPr>
            <w:tcW w:type="dxa" w:w="4513"/>
          </w:tcPr>
          <w:p>
            <w:r/>
            <w:r>
              <w:rPr>
                <w:rFonts w:ascii="Calibri" w:hAnsi="Calibri"/>
                <w:color w:val="1F2A37"/>
                <w:sz w:val="20"/>
              </w:rPr>
              <w:t>Müşteriye değer katan adımların akışı.</w:t>
            </w:r>
          </w:p>
        </w:tc>
      </w:tr>
      <w:tr>
        <w:tc>
          <w:tcPr>
            <w:tcW w:type="dxa" w:w="4513"/>
            <w:shd w:fill="F4F6F9"/>
          </w:tcPr>
          <w:p>
            <w:r/>
            <w:r>
              <w:rPr>
                <w:rFonts w:ascii="Calibri" w:hAnsi="Calibri"/>
                <w:color w:val="1F2A37"/>
                <w:sz w:val="20"/>
              </w:rPr>
              <w:t>İsraf (Muda)</w:t>
            </w:r>
          </w:p>
        </w:tc>
        <w:tc>
          <w:tcPr>
            <w:tcW w:type="dxa" w:w="4513"/>
            <w:shd w:fill="F4F6F9"/>
          </w:tcPr>
          <w:p>
            <w:r/>
            <w:r>
              <w:rPr>
                <w:rFonts w:ascii="Calibri" w:hAnsi="Calibri"/>
                <w:color w:val="1F2A37"/>
                <w:sz w:val="20"/>
              </w:rPr>
              <w:t>Değer katmayan faaliyet (yalın).</w:t>
            </w:r>
          </w:p>
        </w:tc>
      </w:tr>
      <w:tr>
        <w:tc>
          <w:tcPr>
            <w:tcW w:type="dxa" w:w="4513"/>
          </w:tcPr>
          <w:p>
            <w:r/>
            <w:r>
              <w:rPr>
                <w:rFonts w:ascii="Calibri" w:hAnsi="Calibri"/>
                <w:color w:val="1F2A37"/>
                <w:sz w:val="20"/>
              </w:rPr>
              <w:t>Kaizen</w:t>
            </w:r>
          </w:p>
        </w:tc>
        <w:tc>
          <w:tcPr>
            <w:tcW w:type="dxa" w:w="4513"/>
          </w:tcPr>
          <w:p>
            <w:r/>
            <w:r>
              <w:rPr>
                <w:rFonts w:ascii="Calibri" w:hAnsi="Calibri"/>
                <w:color w:val="1F2A37"/>
                <w:sz w:val="20"/>
              </w:rPr>
              <w:t>Sürekli, küçük iyileştirme felsefesi.</w:t>
            </w:r>
          </w:p>
        </w:tc>
      </w:tr>
      <w:tr>
        <w:tc>
          <w:tcPr>
            <w:tcW w:type="dxa" w:w="4513"/>
            <w:shd w:fill="F4F6F9"/>
          </w:tcPr>
          <w:p>
            <w:r/>
            <w:r>
              <w:rPr>
                <w:rFonts w:ascii="Calibri" w:hAnsi="Calibri"/>
                <w:color w:val="1F2A37"/>
                <w:sz w:val="20"/>
              </w:rPr>
              <w:t>DMAIC</w:t>
            </w:r>
          </w:p>
        </w:tc>
        <w:tc>
          <w:tcPr>
            <w:tcW w:type="dxa" w:w="4513"/>
            <w:shd w:fill="F4F6F9"/>
          </w:tcPr>
          <w:p>
            <w:r/>
            <w:r>
              <w:rPr>
                <w:rFonts w:ascii="Calibri" w:hAnsi="Calibri"/>
                <w:color w:val="1F2A37"/>
                <w:sz w:val="20"/>
              </w:rPr>
              <w:t>Tanımla-Ölç-Analiz Et-İyileştir-Kontrol Et (Altı Sigma).</w:t>
            </w:r>
          </w:p>
        </w:tc>
      </w:tr>
      <w:tr>
        <w:tc>
          <w:tcPr>
            <w:tcW w:type="dxa" w:w="4513"/>
          </w:tcPr>
          <w:p>
            <w:r/>
            <w:r>
              <w:rPr>
                <w:rFonts w:ascii="Calibri" w:hAnsi="Calibri"/>
                <w:color w:val="1F2A37"/>
                <w:sz w:val="20"/>
              </w:rPr>
              <w:t>Süreç Olgunluğu</w:t>
            </w:r>
          </w:p>
        </w:tc>
        <w:tc>
          <w:tcPr>
            <w:tcW w:type="dxa" w:w="4513"/>
          </w:tcPr>
          <w:p>
            <w:r/>
            <w:r>
              <w:rPr>
                <w:rFonts w:ascii="Calibri" w:hAnsi="Calibri"/>
                <w:color w:val="1F2A37"/>
                <w:sz w:val="20"/>
              </w:rPr>
              <w:t>Süreçlerin standartlaşma ve yönetilebilirlik düzeyi.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